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E717" w14:textId="77777777" w:rsidR="00B44840" w:rsidRPr="004640F5" w:rsidRDefault="007E2F45" w:rsidP="009124A6">
      <w:pPr>
        <w:spacing w:after="0" w:line="240" w:lineRule="auto"/>
        <w:ind w:left="4536"/>
        <w:jc w:val="both"/>
        <w:rPr>
          <w:rFonts w:ascii="Arial Nova Light" w:eastAsia="Arial Nova" w:hAnsi="Arial Nova Light" w:cs="Arial"/>
          <w:b/>
          <w:sz w:val="24"/>
          <w:szCs w:val="24"/>
        </w:rPr>
      </w:pPr>
      <w:r w:rsidRPr="004640F5">
        <w:rPr>
          <w:rFonts w:ascii="Arial Nova Light" w:eastAsia="Arial Nova" w:hAnsi="Arial Nova Light" w:cs="Arial"/>
          <w:b/>
          <w:sz w:val="24"/>
          <w:szCs w:val="24"/>
        </w:rPr>
        <w:t xml:space="preserve">JUICIO PARA LA PROTECCIÓN DE LOS DERECHOS POLÍTICO-ELECTORALES DEL CIUDADANO. </w:t>
      </w:r>
    </w:p>
    <w:p w14:paraId="33184AE7" w14:textId="77777777" w:rsidR="00B44840" w:rsidRPr="004640F5" w:rsidRDefault="00B44840" w:rsidP="009124A6">
      <w:pPr>
        <w:spacing w:after="0" w:line="240" w:lineRule="auto"/>
        <w:ind w:left="4536"/>
        <w:jc w:val="both"/>
        <w:rPr>
          <w:rFonts w:ascii="Arial Nova Light" w:eastAsia="Arial Nova" w:hAnsi="Arial Nova Light" w:cs="Arial"/>
          <w:b/>
          <w:sz w:val="24"/>
          <w:szCs w:val="24"/>
        </w:rPr>
      </w:pPr>
    </w:p>
    <w:p w14:paraId="1B64B62D" w14:textId="2B45F50F" w:rsidR="00950A13" w:rsidRPr="004640F5" w:rsidRDefault="007E2F45" w:rsidP="009124A6">
      <w:pPr>
        <w:spacing w:after="0" w:line="240" w:lineRule="auto"/>
        <w:ind w:left="4536"/>
        <w:jc w:val="both"/>
        <w:rPr>
          <w:rFonts w:ascii="Arial Nova Light" w:eastAsia="Arial Nova" w:hAnsi="Arial Nova Light" w:cs="Arial"/>
          <w:sz w:val="24"/>
          <w:szCs w:val="24"/>
        </w:rPr>
      </w:pPr>
      <w:r w:rsidRPr="004640F5">
        <w:rPr>
          <w:rFonts w:ascii="Arial Nova Light" w:eastAsia="Arial Nova" w:hAnsi="Arial Nova Light" w:cs="Arial"/>
          <w:b/>
          <w:sz w:val="24"/>
          <w:szCs w:val="24"/>
        </w:rPr>
        <w:t xml:space="preserve">EXPEDIENTE: </w:t>
      </w:r>
      <w:r w:rsidRPr="004640F5">
        <w:rPr>
          <w:rFonts w:ascii="Arial Nova Light" w:eastAsia="Arial Nova" w:hAnsi="Arial Nova Light" w:cs="Arial"/>
          <w:sz w:val="24"/>
          <w:szCs w:val="24"/>
        </w:rPr>
        <w:t>TEEA-JDC-</w:t>
      </w:r>
      <w:r w:rsidR="009124A6">
        <w:rPr>
          <w:rFonts w:ascii="Arial Nova Light" w:eastAsia="Arial Nova" w:hAnsi="Arial Nova Light" w:cs="Arial"/>
          <w:sz w:val="24"/>
          <w:szCs w:val="24"/>
        </w:rPr>
        <w:t>029</w:t>
      </w:r>
      <w:r w:rsidRPr="004640F5">
        <w:rPr>
          <w:rFonts w:ascii="Arial Nova Light" w:eastAsia="Arial Nova" w:hAnsi="Arial Nova Light" w:cs="Arial"/>
          <w:sz w:val="24"/>
          <w:szCs w:val="24"/>
        </w:rPr>
        <w:t>/</w:t>
      </w:r>
      <w:r w:rsidR="003E6A01" w:rsidRPr="004640F5">
        <w:rPr>
          <w:rFonts w:ascii="Arial Nova Light" w:eastAsia="Arial Nova" w:hAnsi="Arial Nova Light" w:cs="Arial"/>
          <w:sz w:val="24"/>
          <w:szCs w:val="24"/>
        </w:rPr>
        <w:t>2021</w:t>
      </w:r>
      <w:r w:rsidRPr="004640F5">
        <w:rPr>
          <w:rFonts w:ascii="Arial Nova Light" w:eastAsia="Arial Nova" w:hAnsi="Arial Nova Light" w:cs="Arial"/>
          <w:sz w:val="24"/>
          <w:szCs w:val="24"/>
        </w:rPr>
        <w:t>.</w:t>
      </w:r>
    </w:p>
    <w:p w14:paraId="45FE5FD3" w14:textId="238AB594" w:rsidR="00B44840" w:rsidRPr="004640F5" w:rsidRDefault="007E2F45" w:rsidP="009124A6">
      <w:pPr>
        <w:spacing w:after="0" w:line="240" w:lineRule="auto"/>
        <w:ind w:left="4536"/>
        <w:jc w:val="both"/>
        <w:rPr>
          <w:rFonts w:ascii="Arial Nova Light" w:eastAsia="Arial Nova" w:hAnsi="Arial Nova Light" w:cs="Arial"/>
          <w:sz w:val="24"/>
          <w:szCs w:val="24"/>
        </w:rPr>
      </w:pPr>
      <w:r w:rsidRPr="004640F5">
        <w:rPr>
          <w:rFonts w:ascii="Arial Nova Light" w:eastAsia="Arial Nova" w:hAnsi="Arial Nova Light" w:cs="Arial"/>
          <w:sz w:val="24"/>
          <w:szCs w:val="24"/>
        </w:rPr>
        <w:t xml:space="preserve"> </w:t>
      </w:r>
    </w:p>
    <w:p w14:paraId="58AA4E57" w14:textId="3FB61D21" w:rsidR="00950A13" w:rsidRPr="004640F5" w:rsidRDefault="00950A13" w:rsidP="009124A6">
      <w:pPr>
        <w:spacing w:after="0" w:line="240" w:lineRule="auto"/>
        <w:ind w:left="4536"/>
        <w:jc w:val="both"/>
        <w:rPr>
          <w:rFonts w:ascii="Arial Nova Light" w:eastAsia="Arial Nova" w:hAnsi="Arial Nova Light" w:cs="Arial"/>
          <w:bCs/>
          <w:sz w:val="24"/>
          <w:szCs w:val="24"/>
        </w:rPr>
      </w:pPr>
      <w:r w:rsidRPr="004640F5">
        <w:rPr>
          <w:rFonts w:ascii="Arial Nova Light" w:eastAsia="Arial Nova" w:hAnsi="Arial Nova Light" w:cs="Arial"/>
          <w:b/>
          <w:sz w:val="24"/>
          <w:szCs w:val="24"/>
        </w:rPr>
        <w:t xml:space="preserve">PROMOVENTE: </w:t>
      </w:r>
      <w:r w:rsidRPr="004640F5">
        <w:rPr>
          <w:rFonts w:ascii="Arial Nova Light" w:eastAsia="Arial Nova" w:hAnsi="Arial Nova Light" w:cs="Arial"/>
          <w:bCs/>
          <w:sz w:val="24"/>
          <w:szCs w:val="24"/>
        </w:rPr>
        <w:t xml:space="preserve">C. </w:t>
      </w:r>
      <w:r w:rsidR="00E37BC5" w:rsidRPr="004640F5">
        <w:rPr>
          <w:rFonts w:ascii="Arial Nova Light" w:eastAsia="Arial Nova" w:hAnsi="Arial Nova Light" w:cs="Arial"/>
          <w:bCs/>
          <w:sz w:val="24"/>
          <w:szCs w:val="24"/>
        </w:rPr>
        <w:t>Juan Francisco Galicia Echeverría</w:t>
      </w:r>
      <w:r w:rsidR="002360C9">
        <w:rPr>
          <w:rFonts w:ascii="Arial Nova Light" w:eastAsia="Arial Nova" w:hAnsi="Arial Nova Light" w:cs="Arial"/>
          <w:bCs/>
          <w:sz w:val="24"/>
          <w:szCs w:val="24"/>
        </w:rPr>
        <w:t>.</w:t>
      </w:r>
    </w:p>
    <w:p w14:paraId="7B0BBC77" w14:textId="0C4A2CC1" w:rsidR="00950A13" w:rsidRPr="004640F5" w:rsidRDefault="00950A13" w:rsidP="009124A6">
      <w:pPr>
        <w:spacing w:after="0" w:line="240" w:lineRule="auto"/>
        <w:ind w:left="4536"/>
        <w:jc w:val="both"/>
        <w:rPr>
          <w:rFonts w:ascii="Arial Nova Light" w:eastAsia="Arial Nova" w:hAnsi="Arial Nova Light" w:cs="Arial"/>
          <w:bCs/>
          <w:sz w:val="24"/>
          <w:szCs w:val="24"/>
        </w:rPr>
      </w:pPr>
    </w:p>
    <w:p w14:paraId="14A3948C" w14:textId="78CDF41C" w:rsidR="00950A13" w:rsidRPr="004640F5" w:rsidRDefault="00950A13" w:rsidP="009124A6">
      <w:pPr>
        <w:spacing w:after="0" w:line="240" w:lineRule="auto"/>
        <w:ind w:left="4536"/>
        <w:jc w:val="both"/>
        <w:rPr>
          <w:rFonts w:ascii="Arial Nova Light" w:eastAsia="Arial Nova" w:hAnsi="Arial Nova Light" w:cs="Arial"/>
          <w:bCs/>
          <w:sz w:val="24"/>
          <w:szCs w:val="24"/>
        </w:rPr>
      </w:pPr>
      <w:r w:rsidRPr="004640F5">
        <w:rPr>
          <w:rFonts w:ascii="Arial Nova Light" w:eastAsia="Arial Nova" w:hAnsi="Arial Nova Light" w:cs="Arial"/>
          <w:b/>
          <w:sz w:val="24"/>
          <w:szCs w:val="24"/>
        </w:rPr>
        <w:t xml:space="preserve">Autoridad Responsable: </w:t>
      </w:r>
      <w:r w:rsidRPr="004640F5">
        <w:rPr>
          <w:rFonts w:ascii="Arial Nova Light" w:eastAsia="Arial Nova" w:hAnsi="Arial Nova Light" w:cs="Arial"/>
          <w:bCs/>
          <w:sz w:val="24"/>
          <w:szCs w:val="24"/>
        </w:rPr>
        <w:t>Consejo General del Instituto Estatal Electoral de Aguascalientes.</w:t>
      </w:r>
    </w:p>
    <w:p w14:paraId="4AAF0EAC" w14:textId="77777777" w:rsidR="00B44840" w:rsidRPr="004640F5" w:rsidRDefault="00B44840" w:rsidP="009124A6">
      <w:pPr>
        <w:spacing w:after="0" w:line="240" w:lineRule="auto"/>
        <w:ind w:left="4536"/>
        <w:jc w:val="both"/>
        <w:rPr>
          <w:rFonts w:ascii="Arial Nova Light" w:eastAsia="Arial Nova" w:hAnsi="Arial Nova Light" w:cs="Arial"/>
          <w:b/>
          <w:sz w:val="24"/>
          <w:szCs w:val="24"/>
        </w:rPr>
      </w:pPr>
    </w:p>
    <w:p w14:paraId="38D2C157" w14:textId="515FBD26" w:rsidR="00B44840" w:rsidRPr="004640F5" w:rsidRDefault="007E2F45" w:rsidP="009124A6">
      <w:pPr>
        <w:spacing w:after="0" w:line="240" w:lineRule="auto"/>
        <w:ind w:left="4536"/>
        <w:jc w:val="both"/>
        <w:rPr>
          <w:rFonts w:ascii="Arial Nova Light" w:eastAsia="Arial Nova" w:hAnsi="Arial Nova Light" w:cs="Arial"/>
          <w:sz w:val="24"/>
          <w:szCs w:val="24"/>
        </w:rPr>
      </w:pPr>
      <w:r w:rsidRPr="004640F5">
        <w:rPr>
          <w:rFonts w:ascii="Arial Nova Light" w:eastAsia="Arial Nova" w:hAnsi="Arial Nova Light" w:cs="Arial"/>
          <w:b/>
          <w:sz w:val="24"/>
          <w:szCs w:val="24"/>
        </w:rPr>
        <w:t xml:space="preserve">MAGISTRADA PONENTE: </w:t>
      </w:r>
      <w:r w:rsidRPr="004640F5">
        <w:rPr>
          <w:rFonts w:ascii="Arial Nova Light" w:eastAsia="Arial Nova" w:hAnsi="Arial Nova Light" w:cs="Arial"/>
          <w:sz w:val="24"/>
          <w:szCs w:val="24"/>
        </w:rPr>
        <w:t xml:space="preserve">Claudia Eloisa Díaz de León González.  </w:t>
      </w:r>
    </w:p>
    <w:p w14:paraId="60E845CD" w14:textId="77777777" w:rsidR="009C16F8" w:rsidRPr="004640F5" w:rsidRDefault="009C16F8" w:rsidP="009124A6">
      <w:pPr>
        <w:spacing w:after="0" w:line="240" w:lineRule="auto"/>
        <w:ind w:left="4536"/>
        <w:jc w:val="both"/>
        <w:rPr>
          <w:rFonts w:ascii="Arial Nova Light" w:eastAsia="Arial Nova" w:hAnsi="Arial Nova Light" w:cs="Arial"/>
          <w:sz w:val="24"/>
          <w:szCs w:val="24"/>
        </w:rPr>
      </w:pPr>
    </w:p>
    <w:p w14:paraId="213F4BB3" w14:textId="35D71D70" w:rsidR="00F717E5" w:rsidRDefault="00F717E5" w:rsidP="009124A6">
      <w:pPr>
        <w:spacing w:line="240" w:lineRule="auto"/>
        <w:ind w:left="4536" w:right="36"/>
        <w:jc w:val="both"/>
        <w:rPr>
          <w:rFonts w:ascii="Arial Nova Light" w:eastAsia="Arial Nova" w:hAnsi="Arial Nova Light" w:cs="Arial Nova"/>
          <w:sz w:val="24"/>
          <w:szCs w:val="24"/>
        </w:rPr>
      </w:pPr>
      <w:r w:rsidRPr="004640F5">
        <w:rPr>
          <w:rFonts w:ascii="Arial Nova Light" w:eastAsia="Arial Nova" w:hAnsi="Arial Nova Light" w:cs="Arial Nova"/>
          <w:b/>
          <w:sz w:val="24"/>
          <w:szCs w:val="24"/>
        </w:rPr>
        <w:t>SECRETARIO DE ESTUDIO</w:t>
      </w:r>
      <w:r w:rsidRPr="004640F5">
        <w:rPr>
          <w:rStyle w:val="Refdenotaalpie"/>
          <w:rFonts w:ascii="Arial Nova Light" w:eastAsia="Arial Nova" w:hAnsi="Arial Nova Light" w:cs="Arial Nova"/>
          <w:b/>
          <w:sz w:val="24"/>
          <w:szCs w:val="24"/>
        </w:rPr>
        <w:footnoteReference w:id="1"/>
      </w:r>
      <w:r w:rsidRPr="004640F5">
        <w:rPr>
          <w:rFonts w:ascii="Arial Nova Light" w:eastAsia="Arial Nova" w:hAnsi="Arial Nova Light" w:cs="Arial Nova"/>
          <w:b/>
          <w:sz w:val="24"/>
          <w:szCs w:val="24"/>
        </w:rPr>
        <w:t xml:space="preserve">: </w:t>
      </w:r>
      <w:r w:rsidRPr="004640F5">
        <w:rPr>
          <w:rFonts w:ascii="Arial Nova Light" w:eastAsia="Arial Nova" w:hAnsi="Arial Nova Light" w:cs="Arial Nova"/>
          <w:sz w:val="24"/>
          <w:szCs w:val="24"/>
        </w:rPr>
        <w:t>Néstor Enrique Rivera López.</w:t>
      </w:r>
    </w:p>
    <w:p w14:paraId="7D3CC8F7" w14:textId="103D47B4" w:rsidR="00B44840" w:rsidRPr="004640F5" w:rsidRDefault="007E2F45" w:rsidP="00634F51">
      <w:pPr>
        <w:pBdr>
          <w:top w:val="nil"/>
          <w:left w:val="nil"/>
          <w:bottom w:val="nil"/>
          <w:right w:val="nil"/>
          <w:between w:val="nil"/>
        </w:pBdr>
        <w:spacing w:after="0" w:line="360" w:lineRule="auto"/>
        <w:ind w:firstLine="708"/>
        <w:jc w:val="right"/>
        <w:rPr>
          <w:rFonts w:ascii="Arial Nova Light" w:eastAsia="Arial Nova" w:hAnsi="Arial Nova Light" w:cs="Arial"/>
          <w:sz w:val="24"/>
          <w:szCs w:val="24"/>
        </w:rPr>
      </w:pPr>
      <w:bookmarkStart w:id="0" w:name="_gjdgxs" w:colFirst="0" w:colLast="0"/>
      <w:bookmarkEnd w:id="0"/>
      <w:r w:rsidRPr="004640F5">
        <w:rPr>
          <w:rFonts w:ascii="Arial Nova Light" w:eastAsia="Arial Nova" w:hAnsi="Arial Nova Light" w:cs="Arial"/>
          <w:sz w:val="24"/>
          <w:szCs w:val="24"/>
        </w:rPr>
        <w:t xml:space="preserve">Aguascalientes, Aguascalientes, a </w:t>
      </w:r>
      <w:r w:rsidR="00E37BC5" w:rsidRPr="004640F5">
        <w:rPr>
          <w:rFonts w:ascii="Arial Nova Light" w:eastAsia="Arial Nova" w:hAnsi="Arial Nova Light" w:cs="Arial"/>
          <w:sz w:val="24"/>
          <w:szCs w:val="24"/>
        </w:rPr>
        <w:t>primero de abril</w:t>
      </w:r>
      <w:r w:rsidR="005B6952" w:rsidRPr="004640F5">
        <w:rPr>
          <w:rFonts w:ascii="Arial Nova Light" w:eastAsia="Arial Nova" w:hAnsi="Arial Nova Light" w:cs="Arial"/>
          <w:sz w:val="24"/>
          <w:szCs w:val="24"/>
        </w:rPr>
        <w:t xml:space="preserve"> de dos mil veintiuno</w:t>
      </w:r>
      <w:r w:rsidRPr="004640F5">
        <w:rPr>
          <w:rFonts w:ascii="Arial Nova Light" w:eastAsia="Arial Nova" w:hAnsi="Arial Nova Light" w:cs="Arial"/>
          <w:sz w:val="24"/>
          <w:szCs w:val="24"/>
        </w:rPr>
        <w:t>.</w:t>
      </w:r>
    </w:p>
    <w:p w14:paraId="1FF6B108" w14:textId="77777777" w:rsidR="00B44840" w:rsidRPr="004640F5" w:rsidRDefault="00B44840">
      <w:pPr>
        <w:pBdr>
          <w:top w:val="nil"/>
          <w:left w:val="nil"/>
          <w:bottom w:val="nil"/>
          <w:right w:val="nil"/>
          <w:between w:val="nil"/>
        </w:pBdr>
        <w:spacing w:after="0" w:line="360" w:lineRule="auto"/>
        <w:jc w:val="both"/>
        <w:rPr>
          <w:rFonts w:ascii="Arial Nova Light" w:eastAsia="Arial Nova" w:hAnsi="Arial Nova Light" w:cs="Arial"/>
          <w:sz w:val="24"/>
          <w:szCs w:val="24"/>
        </w:rPr>
      </w:pPr>
    </w:p>
    <w:p w14:paraId="55F238C7" w14:textId="50CE7E59" w:rsidR="00B44840" w:rsidRPr="004640F5" w:rsidRDefault="0061181B">
      <w:pPr>
        <w:pBdr>
          <w:top w:val="nil"/>
          <w:left w:val="nil"/>
          <w:bottom w:val="nil"/>
          <w:right w:val="nil"/>
          <w:between w:val="nil"/>
        </w:pBdr>
        <w:spacing w:after="0" w:line="360" w:lineRule="auto"/>
        <w:jc w:val="both"/>
        <w:rPr>
          <w:rFonts w:ascii="Arial Nova Light" w:eastAsia="Arial Nova" w:hAnsi="Arial Nova Light" w:cs="Arial"/>
          <w:i/>
          <w:iCs/>
          <w:sz w:val="24"/>
          <w:szCs w:val="24"/>
        </w:rPr>
      </w:pPr>
      <w:r w:rsidRPr="004640F5">
        <w:rPr>
          <w:rFonts w:ascii="Arial Nova Light" w:eastAsia="Arial Nova" w:hAnsi="Arial Nova Light" w:cs="Arial"/>
          <w:b/>
          <w:bCs/>
          <w:sz w:val="24"/>
          <w:szCs w:val="24"/>
        </w:rPr>
        <w:t>Sentencia definitiva</w:t>
      </w:r>
      <w:r w:rsidR="007E2F45" w:rsidRPr="004640F5">
        <w:rPr>
          <w:rFonts w:ascii="Arial Nova Light" w:eastAsia="Arial Nova" w:hAnsi="Arial Nova Light" w:cs="Arial"/>
          <w:sz w:val="24"/>
          <w:szCs w:val="24"/>
        </w:rPr>
        <w:t xml:space="preserve"> que </w:t>
      </w:r>
      <w:r w:rsidR="007E2F45" w:rsidRPr="004640F5">
        <w:rPr>
          <w:rFonts w:ascii="Arial Nova Light" w:eastAsia="Arial Nova" w:hAnsi="Arial Nova Light" w:cs="Arial"/>
          <w:b/>
          <w:sz w:val="24"/>
          <w:szCs w:val="24"/>
        </w:rPr>
        <w:t xml:space="preserve">desecha </w:t>
      </w:r>
      <w:r w:rsidR="007E2F45" w:rsidRPr="004640F5">
        <w:rPr>
          <w:rFonts w:ascii="Arial Nova Light" w:eastAsia="Arial Nova" w:hAnsi="Arial Nova Light" w:cs="Arial"/>
          <w:sz w:val="24"/>
          <w:szCs w:val="24"/>
        </w:rPr>
        <w:t xml:space="preserve">por improcedente la demanda del Juicio para la Protección de los Derechos Político-Electorales del Ciudadano promovido por el C. </w:t>
      </w:r>
      <w:r w:rsidR="00C90905" w:rsidRPr="004640F5">
        <w:rPr>
          <w:rFonts w:ascii="Arial Nova Light" w:eastAsia="Arial Nova" w:hAnsi="Arial Nova Light" w:cs="Arial"/>
          <w:sz w:val="24"/>
          <w:szCs w:val="24"/>
        </w:rPr>
        <w:t>Juan Francisco Galicia Echeverría</w:t>
      </w:r>
      <w:r w:rsidR="007E2F45" w:rsidRPr="004640F5">
        <w:rPr>
          <w:rFonts w:ascii="Arial Nova Light" w:eastAsia="Arial Nova" w:hAnsi="Arial Nova Light" w:cs="Arial"/>
          <w:sz w:val="24"/>
          <w:szCs w:val="24"/>
        </w:rPr>
        <w:t xml:space="preserve">, </w:t>
      </w:r>
      <w:r w:rsidR="00E95A6E" w:rsidRPr="004640F5">
        <w:rPr>
          <w:rFonts w:ascii="Arial Nova Light" w:eastAsia="Arial Nova" w:hAnsi="Arial Nova Light" w:cs="Arial"/>
          <w:sz w:val="24"/>
          <w:szCs w:val="24"/>
        </w:rPr>
        <w:t xml:space="preserve">en la que impugna </w:t>
      </w:r>
      <w:r w:rsidR="000F3616" w:rsidRPr="004640F5">
        <w:rPr>
          <w:rFonts w:ascii="Arial Nova Light" w:eastAsia="Arial Nova" w:hAnsi="Arial Nova Light" w:cs="Arial"/>
          <w:sz w:val="24"/>
          <w:szCs w:val="24"/>
        </w:rPr>
        <w:t>la resolución del Consejo General del Instituto Estatal Electoral identificada con la clave CG-R-</w:t>
      </w:r>
      <w:r w:rsidR="003C12AA" w:rsidRPr="004640F5">
        <w:rPr>
          <w:rFonts w:ascii="Arial Nova Light" w:eastAsia="Arial Nova" w:hAnsi="Arial Nova Light" w:cs="Arial"/>
          <w:sz w:val="24"/>
          <w:szCs w:val="24"/>
        </w:rPr>
        <w:t>15</w:t>
      </w:r>
      <w:r w:rsidR="000F3616" w:rsidRPr="004640F5">
        <w:rPr>
          <w:rFonts w:ascii="Arial Nova Light" w:eastAsia="Arial Nova" w:hAnsi="Arial Nova Light" w:cs="Arial"/>
          <w:sz w:val="24"/>
          <w:szCs w:val="24"/>
        </w:rPr>
        <w:t xml:space="preserve">/21, </w:t>
      </w:r>
      <w:r w:rsidR="00C06136" w:rsidRPr="004640F5">
        <w:rPr>
          <w:rFonts w:ascii="Arial Nova Light" w:eastAsia="Arial Nova" w:hAnsi="Arial Nova Light" w:cs="Arial"/>
          <w:i/>
          <w:iCs/>
          <w:sz w:val="24"/>
          <w:szCs w:val="24"/>
        </w:rPr>
        <w:t>M</w:t>
      </w:r>
      <w:r w:rsidR="00C06136" w:rsidRPr="004640F5">
        <w:rPr>
          <w:rFonts w:ascii="Arial Nova Light" w:hAnsi="Arial Nova Light"/>
          <w:i/>
          <w:iCs/>
          <w:sz w:val="24"/>
          <w:szCs w:val="24"/>
          <w:shd w:val="clear" w:color="auto" w:fill="FFFFFF"/>
        </w:rPr>
        <w:t>ediante la cual se atiende la consulta relativa al ejercicio de facultades reglamentarias en materia de reelección</w:t>
      </w:r>
      <w:r w:rsidR="0007662D" w:rsidRPr="004640F5">
        <w:rPr>
          <w:rFonts w:ascii="Arial Nova Light" w:hAnsi="Arial Nova Light"/>
          <w:i/>
          <w:iCs/>
          <w:sz w:val="24"/>
          <w:szCs w:val="24"/>
          <w:shd w:val="clear" w:color="auto" w:fill="FFFFFF"/>
        </w:rPr>
        <w:t xml:space="preserve">. </w:t>
      </w:r>
      <w:r w:rsidR="00C06136" w:rsidRPr="004640F5">
        <w:rPr>
          <w:rFonts w:ascii="Arial Nova Light" w:eastAsia="Arial Nova" w:hAnsi="Arial Nova Light" w:cs="Arial"/>
          <w:i/>
          <w:iCs/>
          <w:sz w:val="24"/>
          <w:szCs w:val="24"/>
        </w:rPr>
        <w:t xml:space="preserve"> </w:t>
      </w:r>
    </w:p>
    <w:p w14:paraId="4878FEF6" w14:textId="77777777" w:rsidR="00B44840" w:rsidRPr="004640F5" w:rsidRDefault="007E2F45">
      <w:pPr>
        <w:pBdr>
          <w:top w:val="nil"/>
          <w:left w:val="nil"/>
          <w:bottom w:val="nil"/>
          <w:right w:val="nil"/>
          <w:between w:val="nil"/>
        </w:pBdr>
        <w:spacing w:after="0" w:line="240" w:lineRule="auto"/>
        <w:jc w:val="both"/>
        <w:rPr>
          <w:rFonts w:ascii="Arial Nova Light" w:eastAsia="Arial Nova" w:hAnsi="Arial Nova Light" w:cs="Arial"/>
          <w:i/>
          <w:iCs/>
          <w:sz w:val="24"/>
          <w:szCs w:val="24"/>
        </w:rPr>
      </w:pPr>
      <w:r w:rsidRPr="004640F5">
        <w:rPr>
          <w:rFonts w:ascii="Arial Nova Light" w:eastAsia="Arial Nova" w:hAnsi="Arial Nova Light" w:cs="Arial"/>
          <w:i/>
          <w:iCs/>
          <w:sz w:val="24"/>
          <w:szCs w:val="24"/>
        </w:rPr>
        <w:t xml:space="preserve"> </w:t>
      </w:r>
    </w:p>
    <w:p w14:paraId="64DA06F2" w14:textId="77777777" w:rsidR="00B44840" w:rsidRPr="004640F5" w:rsidRDefault="007E2F45">
      <w:pPr>
        <w:pBdr>
          <w:top w:val="nil"/>
          <w:left w:val="nil"/>
          <w:bottom w:val="nil"/>
          <w:right w:val="nil"/>
          <w:between w:val="nil"/>
        </w:pBdr>
        <w:spacing w:after="0" w:line="240" w:lineRule="auto"/>
        <w:jc w:val="center"/>
        <w:rPr>
          <w:rFonts w:ascii="Arial Nova Light" w:eastAsia="Arial Nova" w:hAnsi="Arial Nova Light" w:cs="Arial"/>
          <w:b/>
          <w:sz w:val="24"/>
          <w:szCs w:val="24"/>
        </w:rPr>
      </w:pPr>
      <w:r w:rsidRPr="004640F5">
        <w:rPr>
          <w:rFonts w:ascii="Arial Nova Light" w:eastAsia="Arial Nova" w:hAnsi="Arial Nova Light" w:cs="Arial"/>
          <w:b/>
          <w:sz w:val="24"/>
          <w:szCs w:val="24"/>
        </w:rPr>
        <w:t>GLOSARIO</w:t>
      </w:r>
    </w:p>
    <w:tbl>
      <w:tblPr>
        <w:tblStyle w:val="a"/>
        <w:tblW w:w="82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405"/>
        <w:gridCol w:w="5812"/>
      </w:tblGrid>
      <w:tr w:rsidR="00036BD4" w:rsidRPr="004640F5" w14:paraId="77B04FFE" w14:textId="77777777">
        <w:trPr>
          <w:jc w:val="center"/>
        </w:trPr>
        <w:tc>
          <w:tcPr>
            <w:tcW w:w="2405" w:type="dxa"/>
          </w:tcPr>
          <w:p w14:paraId="1B495B1E" w14:textId="77777777" w:rsidR="00B44840" w:rsidRPr="004640F5" w:rsidRDefault="007E2F45">
            <w:pPr>
              <w:pBdr>
                <w:top w:val="nil"/>
                <w:left w:val="nil"/>
                <w:bottom w:val="nil"/>
                <w:right w:val="nil"/>
                <w:between w:val="nil"/>
              </w:pBdr>
              <w:jc w:val="both"/>
              <w:rPr>
                <w:rFonts w:ascii="Arial Nova Light" w:eastAsia="Arial Nova" w:hAnsi="Arial Nova Light" w:cs="Arial"/>
                <w:b/>
                <w:sz w:val="18"/>
                <w:szCs w:val="18"/>
              </w:rPr>
            </w:pPr>
            <w:r w:rsidRPr="004640F5">
              <w:rPr>
                <w:rFonts w:ascii="Arial Nova Light" w:eastAsia="Arial Nova" w:hAnsi="Arial Nova Light" w:cs="Arial"/>
                <w:b/>
                <w:sz w:val="18"/>
                <w:szCs w:val="18"/>
              </w:rPr>
              <w:t xml:space="preserve">Promovente: </w:t>
            </w:r>
          </w:p>
        </w:tc>
        <w:tc>
          <w:tcPr>
            <w:tcW w:w="5812" w:type="dxa"/>
          </w:tcPr>
          <w:p w14:paraId="68394245" w14:textId="2B8C63EA" w:rsidR="00B44840" w:rsidRPr="004640F5" w:rsidRDefault="00C90905">
            <w:pPr>
              <w:pBdr>
                <w:top w:val="nil"/>
                <w:left w:val="nil"/>
                <w:bottom w:val="nil"/>
                <w:right w:val="nil"/>
                <w:between w:val="nil"/>
              </w:pBdr>
              <w:jc w:val="both"/>
              <w:rPr>
                <w:rFonts w:ascii="Arial Nova Light" w:eastAsia="Arial Nova" w:hAnsi="Arial Nova Light" w:cs="Arial"/>
                <w:sz w:val="18"/>
                <w:szCs w:val="18"/>
              </w:rPr>
            </w:pPr>
            <w:r w:rsidRPr="004640F5">
              <w:rPr>
                <w:rFonts w:ascii="Arial Nova Light" w:eastAsia="Arial Nova" w:hAnsi="Arial Nova Light" w:cs="Arial"/>
                <w:sz w:val="18"/>
                <w:szCs w:val="18"/>
              </w:rPr>
              <w:t>Juan Francisco Galicia Echeverría</w:t>
            </w:r>
            <w:r w:rsidR="007E2F45" w:rsidRPr="004640F5">
              <w:rPr>
                <w:rFonts w:ascii="Arial Nova Light" w:eastAsia="Arial Nova" w:hAnsi="Arial Nova Light" w:cs="Arial"/>
                <w:sz w:val="18"/>
                <w:szCs w:val="18"/>
              </w:rPr>
              <w:t>.</w:t>
            </w:r>
          </w:p>
        </w:tc>
      </w:tr>
      <w:tr w:rsidR="00036BD4" w:rsidRPr="004640F5" w14:paraId="6BED465E" w14:textId="77777777">
        <w:trPr>
          <w:jc w:val="center"/>
        </w:trPr>
        <w:tc>
          <w:tcPr>
            <w:tcW w:w="2405" w:type="dxa"/>
          </w:tcPr>
          <w:p w14:paraId="41F9B7F0" w14:textId="77777777" w:rsidR="00B44840" w:rsidRPr="004640F5" w:rsidRDefault="007E2F45">
            <w:pPr>
              <w:pBdr>
                <w:top w:val="nil"/>
                <w:left w:val="nil"/>
                <w:bottom w:val="nil"/>
                <w:right w:val="nil"/>
                <w:between w:val="nil"/>
              </w:pBdr>
              <w:jc w:val="both"/>
              <w:rPr>
                <w:rFonts w:ascii="Arial Nova Light" w:eastAsia="Arial Nova" w:hAnsi="Arial Nova Light" w:cs="Arial"/>
                <w:b/>
                <w:sz w:val="18"/>
                <w:szCs w:val="18"/>
              </w:rPr>
            </w:pPr>
            <w:r w:rsidRPr="004640F5">
              <w:rPr>
                <w:rFonts w:ascii="Arial Nova Light" w:eastAsia="Arial Nova" w:hAnsi="Arial Nova Light" w:cs="Arial"/>
                <w:b/>
                <w:sz w:val="18"/>
                <w:szCs w:val="18"/>
              </w:rPr>
              <w:t>Autoridad Responsable:</w:t>
            </w:r>
          </w:p>
        </w:tc>
        <w:tc>
          <w:tcPr>
            <w:tcW w:w="5812" w:type="dxa"/>
          </w:tcPr>
          <w:p w14:paraId="241244FC" w14:textId="77777777" w:rsidR="00B44840" w:rsidRPr="004640F5" w:rsidRDefault="007E2F45">
            <w:pPr>
              <w:pBdr>
                <w:top w:val="nil"/>
                <w:left w:val="nil"/>
                <w:bottom w:val="nil"/>
                <w:right w:val="nil"/>
                <w:between w:val="nil"/>
              </w:pBdr>
              <w:jc w:val="both"/>
              <w:rPr>
                <w:rFonts w:ascii="Arial Nova Light" w:eastAsia="Arial Nova" w:hAnsi="Arial Nova Light" w:cs="Arial"/>
                <w:sz w:val="18"/>
                <w:szCs w:val="18"/>
              </w:rPr>
            </w:pPr>
            <w:r w:rsidRPr="004640F5">
              <w:rPr>
                <w:rFonts w:ascii="Arial Nova Light" w:eastAsia="Arial Nova" w:hAnsi="Arial Nova Light" w:cs="Arial"/>
                <w:sz w:val="18"/>
                <w:szCs w:val="18"/>
              </w:rPr>
              <w:t xml:space="preserve">Consejo General del Instituto Estatal Electoral. </w:t>
            </w:r>
          </w:p>
        </w:tc>
      </w:tr>
      <w:tr w:rsidR="00036BD4" w:rsidRPr="004640F5" w14:paraId="2D2EFC99" w14:textId="77777777">
        <w:trPr>
          <w:jc w:val="center"/>
        </w:trPr>
        <w:tc>
          <w:tcPr>
            <w:tcW w:w="2405" w:type="dxa"/>
          </w:tcPr>
          <w:p w14:paraId="08B187A7" w14:textId="6A141F98" w:rsidR="00B44840" w:rsidRPr="004640F5" w:rsidRDefault="0007662D">
            <w:pPr>
              <w:pBdr>
                <w:top w:val="nil"/>
                <w:left w:val="nil"/>
                <w:bottom w:val="nil"/>
                <w:right w:val="nil"/>
                <w:between w:val="nil"/>
              </w:pBdr>
              <w:jc w:val="both"/>
              <w:rPr>
                <w:rFonts w:ascii="Arial Nova Light" w:eastAsia="Arial Nova" w:hAnsi="Arial Nova Light" w:cs="Arial"/>
                <w:b/>
                <w:sz w:val="18"/>
                <w:szCs w:val="18"/>
              </w:rPr>
            </w:pPr>
            <w:r w:rsidRPr="004640F5">
              <w:rPr>
                <w:rFonts w:ascii="Arial Nova Light" w:eastAsia="Arial Nova" w:hAnsi="Arial Nova Light" w:cs="Arial"/>
                <w:b/>
                <w:sz w:val="18"/>
                <w:szCs w:val="18"/>
              </w:rPr>
              <w:t>CG-R-</w:t>
            </w:r>
            <w:r w:rsidR="00DB117B" w:rsidRPr="004640F5">
              <w:rPr>
                <w:rFonts w:ascii="Arial Nova Light" w:eastAsia="Arial Nova" w:hAnsi="Arial Nova Light" w:cs="Arial"/>
                <w:b/>
                <w:sz w:val="18"/>
                <w:szCs w:val="18"/>
              </w:rPr>
              <w:t>15</w:t>
            </w:r>
            <w:r w:rsidRPr="004640F5">
              <w:rPr>
                <w:rFonts w:ascii="Arial Nova Light" w:eastAsia="Arial Nova" w:hAnsi="Arial Nova Light" w:cs="Arial"/>
                <w:b/>
                <w:sz w:val="18"/>
                <w:szCs w:val="18"/>
              </w:rPr>
              <w:t>/21</w:t>
            </w:r>
          </w:p>
        </w:tc>
        <w:tc>
          <w:tcPr>
            <w:tcW w:w="5812" w:type="dxa"/>
          </w:tcPr>
          <w:p w14:paraId="1DADBCC1" w14:textId="170312FC" w:rsidR="00B44840" w:rsidRPr="004640F5" w:rsidRDefault="00260C95">
            <w:pPr>
              <w:pBdr>
                <w:top w:val="nil"/>
                <w:left w:val="nil"/>
                <w:bottom w:val="nil"/>
                <w:right w:val="nil"/>
                <w:between w:val="nil"/>
              </w:pBdr>
              <w:jc w:val="both"/>
              <w:rPr>
                <w:rFonts w:ascii="Arial Nova Light" w:eastAsia="Arial Nova" w:hAnsi="Arial Nova Light" w:cs="Arial"/>
                <w:sz w:val="18"/>
                <w:szCs w:val="18"/>
              </w:rPr>
            </w:pPr>
            <w:r w:rsidRPr="004640F5">
              <w:rPr>
                <w:rFonts w:ascii="Arial Nova Light" w:eastAsia="Arial Nova" w:hAnsi="Arial Nova Light" w:cs="Arial"/>
                <w:sz w:val="18"/>
                <w:szCs w:val="18"/>
              </w:rPr>
              <w:t xml:space="preserve">Resolución del Consejo General del Instituto Estatal Electoral, </w:t>
            </w:r>
            <w:r w:rsidR="00DB117B" w:rsidRPr="004640F5">
              <w:rPr>
                <w:rFonts w:ascii="Arial Nova Light" w:eastAsia="Arial Nova" w:hAnsi="Arial Nova Light" w:cs="Arial"/>
                <w:sz w:val="18"/>
                <w:szCs w:val="18"/>
              </w:rPr>
              <w:t>mediante la cual se atienden las consultas relativas al ejercicio de facultades reglamentarias en materia de reelección, formuladas por los c.c. José De Jesús Pérez Carrera y Juan Francisco Galicia Echeverría.</w:t>
            </w:r>
          </w:p>
        </w:tc>
      </w:tr>
      <w:tr w:rsidR="00036BD4" w:rsidRPr="004640F5" w14:paraId="0E45EB95" w14:textId="77777777">
        <w:trPr>
          <w:jc w:val="center"/>
        </w:trPr>
        <w:tc>
          <w:tcPr>
            <w:tcW w:w="2405" w:type="dxa"/>
          </w:tcPr>
          <w:p w14:paraId="7E9D542B" w14:textId="77777777" w:rsidR="00B44840" w:rsidRPr="004640F5" w:rsidRDefault="007E2F45">
            <w:pPr>
              <w:pBdr>
                <w:top w:val="nil"/>
                <w:left w:val="nil"/>
                <w:bottom w:val="nil"/>
                <w:right w:val="nil"/>
                <w:between w:val="nil"/>
              </w:pBdr>
              <w:jc w:val="both"/>
              <w:rPr>
                <w:rFonts w:ascii="Arial Nova Light" w:eastAsia="Arial Nova" w:hAnsi="Arial Nova Light" w:cs="Arial"/>
                <w:b/>
                <w:sz w:val="18"/>
                <w:szCs w:val="18"/>
              </w:rPr>
            </w:pPr>
            <w:r w:rsidRPr="004640F5">
              <w:rPr>
                <w:rFonts w:ascii="Arial Nova Light" w:eastAsia="Arial Nova" w:hAnsi="Arial Nova Light" w:cs="Arial"/>
                <w:b/>
                <w:sz w:val="18"/>
                <w:szCs w:val="18"/>
              </w:rPr>
              <w:t xml:space="preserve">Tribunal: </w:t>
            </w:r>
          </w:p>
        </w:tc>
        <w:tc>
          <w:tcPr>
            <w:tcW w:w="5812" w:type="dxa"/>
          </w:tcPr>
          <w:p w14:paraId="74B2E69C" w14:textId="77777777" w:rsidR="00B44840" w:rsidRPr="004640F5" w:rsidRDefault="007E2F45">
            <w:pPr>
              <w:pBdr>
                <w:top w:val="nil"/>
                <w:left w:val="nil"/>
                <w:bottom w:val="nil"/>
                <w:right w:val="nil"/>
                <w:between w:val="nil"/>
              </w:pBdr>
              <w:jc w:val="both"/>
              <w:rPr>
                <w:rFonts w:ascii="Arial Nova Light" w:eastAsia="Arial Nova" w:hAnsi="Arial Nova Light" w:cs="Arial"/>
                <w:sz w:val="18"/>
                <w:szCs w:val="18"/>
              </w:rPr>
            </w:pPr>
            <w:r w:rsidRPr="004640F5">
              <w:rPr>
                <w:rFonts w:ascii="Arial Nova Light" w:eastAsia="Arial Nova" w:hAnsi="Arial Nova Light" w:cs="Arial"/>
                <w:sz w:val="18"/>
                <w:szCs w:val="18"/>
              </w:rPr>
              <w:t xml:space="preserve">Tribunal Electoral del Estado de Aguascalientes. </w:t>
            </w:r>
          </w:p>
        </w:tc>
      </w:tr>
      <w:tr w:rsidR="00036BD4" w:rsidRPr="004640F5" w14:paraId="7FF286F1" w14:textId="77777777">
        <w:trPr>
          <w:trHeight w:val="80"/>
          <w:jc w:val="center"/>
        </w:trPr>
        <w:tc>
          <w:tcPr>
            <w:tcW w:w="2405" w:type="dxa"/>
          </w:tcPr>
          <w:p w14:paraId="2B6B5ED0" w14:textId="77777777" w:rsidR="00B44840" w:rsidRPr="004640F5" w:rsidRDefault="007E2F45">
            <w:pPr>
              <w:pBdr>
                <w:top w:val="nil"/>
                <w:left w:val="nil"/>
                <w:bottom w:val="nil"/>
                <w:right w:val="nil"/>
                <w:between w:val="nil"/>
              </w:pBdr>
              <w:jc w:val="both"/>
              <w:rPr>
                <w:rFonts w:ascii="Arial Nova Light" w:eastAsia="Arial Nova" w:hAnsi="Arial Nova Light" w:cs="Arial"/>
                <w:b/>
                <w:sz w:val="18"/>
                <w:szCs w:val="18"/>
              </w:rPr>
            </w:pPr>
            <w:r w:rsidRPr="004640F5">
              <w:rPr>
                <w:rFonts w:ascii="Arial Nova Light" w:eastAsia="Arial Nova" w:hAnsi="Arial Nova Light" w:cs="Arial"/>
                <w:b/>
                <w:sz w:val="18"/>
                <w:szCs w:val="18"/>
              </w:rPr>
              <w:t>Sala Superior:</w:t>
            </w:r>
          </w:p>
        </w:tc>
        <w:tc>
          <w:tcPr>
            <w:tcW w:w="5812" w:type="dxa"/>
          </w:tcPr>
          <w:p w14:paraId="5121276E" w14:textId="77777777" w:rsidR="00B44840" w:rsidRPr="004640F5" w:rsidRDefault="007E2F45">
            <w:pPr>
              <w:pBdr>
                <w:top w:val="nil"/>
                <w:left w:val="nil"/>
                <w:bottom w:val="nil"/>
                <w:right w:val="nil"/>
                <w:between w:val="nil"/>
              </w:pBdr>
              <w:jc w:val="both"/>
              <w:rPr>
                <w:rFonts w:ascii="Arial Nova Light" w:eastAsia="Arial Nova" w:hAnsi="Arial Nova Light" w:cs="Arial"/>
                <w:sz w:val="18"/>
                <w:szCs w:val="18"/>
              </w:rPr>
            </w:pPr>
            <w:r w:rsidRPr="004640F5">
              <w:rPr>
                <w:rFonts w:ascii="Arial Nova Light" w:eastAsia="Arial Nova" w:hAnsi="Arial Nova Light" w:cs="Arial"/>
                <w:sz w:val="18"/>
                <w:szCs w:val="18"/>
              </w:rPr>
              <w:t>Sala Superior del Tribunal Electoral del Poder Judicial de la Federación.</w:t>
            </w:r>
          </w:p>
        </w:tc>
      </w:tr>
      <w:tr w:rsidR="00036BD4" w:rsidRPr="004640F5" w14:paraId="1DF2983C" w14:textId="77777777">
        <w:trPr>
          <w:jc w:val="center"/>
        </w:trPr>
        <w:tc>
          <w:tcPr>
            <w:tcW w:w="2405" w:type="dxa"/>
          </w:tcPr>
          <w:p w14:paraId="162FBF8B" w14:textId="77777777" w:rsidR="00B44840" w:rsidRPr="004640F5" w:rsidRDefault="007E2F45">
            <w:pPr>
              <w:pBdr>
                <w:top w:val="nil"/>
                <w:left w:val="nil"/>
                <w:bottom w:val="nil"/>
                <w:right w:val="nil"/>
                <w:between w:val="nil"/>
              </w:pBdr>
              <w:jc w:val="both"/>
              <w:rPr>
                <w:rFonts w:ascii="Arial Nova Light" w:eastAsia="Arial Nova" w:hAnsi="Arial Nova Light" w:cs="Arial"/>
                <w:b/>
                <w:sz w:val="18"/>
                <w:szCs w:val="18"/>
              </w:rPr>
            </w:pPr>
            <w:r w:rsidRPr="004640F5">
              <w:rPr>
                <w:rFonts w:ascii="Arial Nova Light" w:eastAsia="Arial Nova" w:hAnsi="Arial Nova Light" w:cs="Arial"/>
                <w:b/>
                <w:sz w:val="18"/>
                <w:szCs w:val="18"/>
              </w:rPr>
              <w:t>IEE:</w:t>
            </w:r>
          </w:p>
        </w:tc>
        <w:tc>
          <w:tcPr>
            <w:tcW w:w="5812" w:type="dxa"/>
          </w:tcPr>
          <w:p w14:paraId="40D3F1DE" w14:textId="77777777" w:rsidR="00B44840" w:rsidRPr="004640F5" w:rsidRDefault="007E2F45">
            <w:pPr>
              <w:pBdr>
                <w:top w:val="nil"/>
                <w:left w:val="nil"/>
                <w:bottom w:val="nil"/>
                <w:right w:val="nil"/>
                <w:between w:val="nil"/>
              </w:pBdr>
              <w:jc w:val="both"/>
              <w:rPr>
                <w:rFonts w:ascii="Arial Nova Light" w:eastAsia="Arial Nova" w:hAnsi="Arial Nova Light" w:cs="Arial"/>
                <w:sz w:val="18"/>
                <w:szCs w:val="18"/>
              </w:rPr>
            </w:pPr>
            <w:r w:rsidRPr="004640F5">
              <w:rPr>
                <w:rFonts w:ascii="Arial Nova Light" w:eastAsia="Arial Nova" w:hAnsi="Arial Nova Light" w:cs="Arial"/>
                <w:sz w:val="18"/>
                <w:szCs w:val="18"/>
              </w:rPr>
              <w:t>Instituto Estatal Electoral</w:t>
            </w:r>
          </w:p>
        </w:tc>
      </w:tr>
      <w:tr w:rsidR="00036BD4" w:rsidRPr="004640F5" w14:paraId="664EB8EE" w14:textId="77777777">
        <w:trPr>
          <w:jc w:val="center"/>
        </w:trPr>
        <w:tc>
          <w:tcPr>
            <w:tcW w:w="2405" w:type="dxa"/>
          </w:tcPr>
          <w:p w14:paraId="7EC6ED51" w14:textId="77777777" w:rsidR="00B44840" w:rsidRPr="004640F5" w:rsidRDefault="007E2F45">
            <w:pPr>
              <w:pBdr>
                <w:top w:val="nil"/>
                <w:left w:val="nil"/>
                <w:bottom w:val="nil"/>
                <w:right w:val="nil"/>
                <w:between w:val="nil"/>
              </w:pBdr>
              <w:jc w:val="both"/>
              <w:rPr>
                <w:rFonts w:ascii="Arial Nova Light" w:eastAsia="Arial Nova" w:hAnsi="Arial Nova Light" w:cs="Arial"/>
                <w:b/>
                <w:sz w:val="18"/>
                <w:szCs w:val="18"/>
              </w:rPr>
            </w:pPr>
            <w:r w:rsidRPr="004640F5">
              <w:rPr>
                <w:rFonts w:ascii="Arial Nova Light" w:eastAsia="Arial Nova" w:hAnsi="Arial Nova Light" w:cs="Arial"/>
                <w:b/>
                <w:sz w:val="18"/>
                <w:szCs w:val="18"/>
              </w:rPr>
              <w:t>CG:</w:t>
            </w:r>
          </w:p>
        </w:tc>
        <w:tc>
          <w:tcPr>
            <w:tcW w:w="5812" w:type="dxa"/>
          </w:tcPr>
          <w:p w14:paraId="308B2D1F" w14:textId="77777777" w:rsidR="00B44840" w:rsidRPr="004640F5" w:rsidRDefault="007E2F45">
            <w:pPr>
              <w:pBdr>
                <w:top w:val="nil"/>
                <w:left w:val="nil"/>
                <w:bottom w:val="nil"/>
                <w:right w:val="nil"/>
                <w:between w:val="nil"/>
              </w:pBdr>
              <w:jc w:val="both"/>
              <w:rPr>
                <w:rFonts w:ascii="Arial Nova Light" w:eastAsia="Arial Nova" w:hAnsi="Arial Nova Light" w:cs="Arial"/>
                <w:sz w:val="18"/>
                <w:szCs w:val="18"/>
              </w:rPr>
            </w:pPr>
            <w:r w:rsidRPr="004640F5">
              <w:rPr>
                <w:rFonts w:ascii="Arial Nova Light" w:eastAsia="Arial Nova" w:hAnsi="Arial Nova Light" w:cs="Arial"/>
                <w:sz w:val="18"/>
                <w:szCs w:val="18"/>
              </w:rPr>
              <w:t>Consejo General</w:t>
            </w:r>
          </w:p>
        </w:tc>
      </w:tr>
      <w:tr w:rsidR="00B44840" w:rsidRPr="004640F5" w14:paraId="67F76FD4" w14:textId="77777777">
        <w:trPr>
          <w:jc w:val="center"/>
        </w:trPr>
        <w:tc>
          <w:tcPr>
            <w:tcW w:w="2405" w:type="dxa"/>
          </w:tcPr>
          <w:p w14:paraId="751964EA" w14:textId="77777777" w:rsidR="00B44840" w:rsidRPr="004640F5" w:rsidRDefault="007E2F45">
            <w:pPr>
              <w:pBdr>
                <w:top w:val="nil"/>
                <w:left w:val="nil"/>
                <w:bottom w:val="nil"/>
                <w:right w:val="nil"/>
                <w:between w:val="nil"/>
              </w:pBdr>
              <w:jc w:val="both"/>
              <w:rPr>
                <w:rFonts w:ascii="Arial Nova Light" w:eastAsia="Arial Nova" w:hAnsi="Arial Nova Light" w:cs="Arial"/>
                <w:b/>
                <w:sz w:val="18"/>
                <w:szCs w:val="18"/>
              </w:rPr>
            </w:pPr>
            <w:r w:rsidRPr="004640F5">
              <w:rPr>
                <w:rFonts w:ascii="Arial Nova Light" w:eastAsia="Arial Nova" w:hAnsi="Arial Nova Light" w:cs="Arial"/>
                <w:b/>
                <w:sz w:val="18"/>
                <w:szCs w:val="18"/>
              </w:rPr>
              <w:t>Código Electoral:</w:t>
            </w:r>
          </w:p>
        </w:tc>
        <w:tc>
          <w:tcPr>
            <w:tcW w:w="5812" w:type="dxa"/>
          </w:tcPr>
          <w:p w14:paraId="6A4158C5" w14:textId="77777777" w:rsidR="00B44840" w:rsidRPr="004640F5" w:rsidRDefault="007E2F45">
            <w:pPr>
              <w:pBdr>
                <w:top w:val="nil"/>
                <w:left w:val="nil"/>
                <w:bottom w:val="nil"/>
                <w:right w:val="nil"/>
                <w:between w:val="nil"/>
              </w:pBdr>
              <w:jc w:val="both"/>
              <w:rPr>
                <w:rFonts w:ascii="Arial Nova Light" w:eastAsia="Arial Nova" w:hAnsi="Arial Nova Light" w:cs="Arial"/>
                <w:sz w:val="18"/>
                <w:szCs w:val="18"/>
              </w:rPr>
            </w:pPr>
            <w:r w:rsidRPr="004640F5">
              <w:rPr>
                <w:rFonts w:ascii="Arial Nova Light" w:eastAsia="Arial Nova" w:hAnsi="Arial Nova Light" w:cs="Arial"/>
                <w:sz w:val="18"/>
                <w:szCs w:val="18"/>
              </w:rPr>
              <w:t>Código Electoral del Estado de Aguascalientes.</w:t>
            </w:r>
          </w:p>
        </w:tc>
      </w:tr>
    </w:tbl>
    <w:p w14:paraId="1A8A184C" w14:textId="77777777" w:rsidR="00B44840" w:rsidRPr="004640F5" w:rsidRDefault="00B44840">
      <w:pPr>
        <w:pBdr>
          <w:top w:val="nil"/>
          <w:left w:val="nil"/>
          <w:bottom w:val="nil"/>
          <w:right w:val="nil"/>
          <w:between w:val="nil"/>
        </w:pBdr>
        <w:tabs>
          <w:tab w:val="left" w:pos="0"/>
        </w:tabs>
        <w:spacing w:after="0" w:line="360" w:lineRule="auto"/>
        <w:jc w:val="both"/>
        <w:rPr>
          <w:rFonts w:ascii="Arial Nova Light" w:eastAsia="Arial Nova" w:hAnsi="Arial Nova Light" w:cs="Arial"/>
          <w:sz w:val="24"/>
          <w:szCs w:val="24"/>
        </w:rPr>
      </w:pPr>
    </w:p>
    <w:p w14:paraId="383152BC" w14:textId="167CC528" w:rsidR="00B44840" w:rsidRPr="004640F5" w:rsidRDefault="007E2F45" w:rsidP="005B6952">
      <w:pPr>
        <w:numPr>
          <w:ilvl w:val="0"/>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w:sz w:val="24"/>
          <w:szCs w:val="24"/>
        </w:rPr>
      </w:pPr>
      <w:r w:rsidRPr="004640F5">
        <w:rPr>
          <w:rFonts w:ascii="Arial Nova Light" w:eastAsia="Arial Nova" w:hAnsi="Arial Nova Light" w:cs="Arial"/>
          <w:b/>
          <w:sz w:val="24"/>
          <w:szCs w:val="24"/>
        </w:rPr>
        <w:t xml:space="preserve">ANTECEDENTES. </w:t>
      </w:r>
      <w:r w:rsidRPr="004640F5">
        <w:rPr>
          <w:rFonts w:ascii="Arial Nova Light" w:eastAsia="Arial Nova" w:hAnsi="Arial Nova Light" w:cs="Arial"/>
          <w:sz w:val="24"/>
          <w:szCs w:val="24"/>
        </w:rPr>
        <w:t xml:space="preserve">Los hechos se suscitaron en el año dos mil </w:t>
      </w:r>
      <w:r w:rsidR="00260C95" w:rsidRPr="004640F5">
        <w:rPr>
          <w:rFonts w:ascii="Arial Nova Light" w:eastAsia="Arial Nova" w:hAnsi="Arial Nova Light" w:cs="Arial"/>
          <w:sz w:val="24"/>
          <w:szCs w:val="24"/>
        </w:rPr>
        <w:t>veintiuno</w:t>
      </w:r>
      <w:r w:rsidRPr="004640F5">
        <w:rPr>
          <w:rFonts w:ascii="Arial Nova Light" w:eastAsia="Arial Nova" w:hAnsi="Arial Nova Light" w:cs="Arial"/>
          <w:sz w:val="24"/>
          <w:szCs w:val="24"/>
        </w:rPr>
        <w:t>, salvo precisión en contrario</w:t>
      </w:r>
      <w:r w:rsidRPr="004640F5">
        <w:rPr>
          <w:rFonts w:ascii="Arial Nova Light" w:eastAsia="Arial Nova" w:hAnsi="Arial Nova Light" w:cs="Arial"/>
          <w:b/>
          <w:sz w:val="24"/>
          <w:szCs w:val="24"/>
        </w:rPr>
        <w:t>.</w:t>
      </w:r>
    </w:p>
    <w:p w14:paraId="573FC4E5" w14:textId="77777777" w:rsidR="00B44840" w:rsidRPr="004640F5" w:rsidRDefault="00B44840" w:rsidP="005B6952">
      <w:pPr>
        <w:pBdr>
          <w:top w:val="nil"/>
          <w:left w:val="nil"/>
          <w:bottom w:val="nil"/>
          <w:right w:val="nil"/>
          <w:between w:val="nil"/>
        </w:pBdr>
        <w:tabs>
          <w:tab w:val="left" w:pos="0"/>
        </w:tabs>
        <w:spacing w:after="0" w:line="360" w:lineRule="auto"/>
        <w:jc w:val="both"/>
        <w:rPr>
          <w:rFonts w:ascii="Arial Nova Light" w:eastAsia="Arial Nova" w:hAnsi="Arial Nova Light" w:cs="Arial"/>
          <w:sz w:val="24"/>
          <w:szCs w:val="24"/>
        </w:rPr>
      </w:pPr>
    </w:p>
    <w:p w14:paraId="68C3B6A6" w14:textId="55A76F01" w:rsidR="00A67D84" w:rsidRPr="004640F5" w:rsidRDefault="007E2F45" w:rsidP="005B6952">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sz w:val="24"/>
          <w:szCs w:val="24"/>
        </w:rPr>
      </w:pPr>
      <w:r w:rsidRPr="004640F5">
        <w:rPr>
          <w:rFonts w:ascii="Arial Nova Light" w:eastAsia="Arial Nova" w:hAnsi="Arial Nova Light" w:cs="Arial"/>
          <w:b/>
          <w:sz w:val="24"/>
          <w:szCs w:val="24"/>
        </w:rPr>
        <w:t>Proceso Electoral Concurrente Ordinario 2020-2021.</w:t>
      </w:r>
      <w:r w:rsidRPr="004640F5">
        <w:rPr>
          <w:rFonts w:ascii="Arial Nova Light" w:eastAsia="Arial Nova" w:hAnsi="Arial Nova Light" w:cs="Arial"/>
          <w:sz w:val="24"/>
          <w:szCs w:val="24"/>
        </w:rPr>
        <w:t xml:space="preserve"> El tres de noviembre</w:t>
      </w:r>
      <w:r w:rsidR="00A67D84" w:rsidRPr="004640F5">
        <w:rPr>
          <w:rFonts w:ascii="Arial Nova Light" w:eastAsia="Arial Nova" w:hAnsi="Arial Nova Light" w:cs="Arial"/>
          <w:sz w:val="24"/>
          <w:szCs w:val="24"/>
        </w:rPr>
        <w:t xml:space="preserve"> de dos mil veinte</w:t>
      </w:r>
      <w:r w:rsidRPr="004640F5">
        <w:rPr>
          <w:rFonts w:ascii="Arial Nova Light" w:eastAsia="Arial Nova" w:hAnsi="Arial Nova Light" w:cs="Arial"/>
          <w:sz w:val="24"/>
          <w:szCs w:val="24"/>
        </w:rPr>
        <w:t xml:space="preserve">, dio inicio el proceso electoral concurrente ordinario 2020-2021, para la renovación de los Ayuntamientos y Diputaciones del Estado de Aguascalientes. </w:t>
      </w:r>
    </w:p>
    <w:p w14:paraId="135A5681" w14:textId="77777777" w:rsidR="00FE594D" w:rsidRPr="004640F5" w:rsidRDefault="00FE594D" w:rsidP="00FE594D">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3CB4980A" w14:textId="5C524C03" w:rsidR="00D668F7" w:rsidRPr="004640F5" w:rsidRDefault="00A67D84" w:rsidP="005B6952">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4640F5">
        <w:rPr>
          <w:rFonts w:ascii="Arial Nova Light" w:eastAsia="Arial Nova" w:hAnsi="Arial Nova Light" w:cs="Arial"/>
          <w:b/>
          <w:sz w:val="24"/>
          <w:szCs w:val="24"/>
        </w:rPr>
        <w:t xml:space="preserve">Presentación de la solicitud. </w:t>
      </w:r>
      <w:r w:rsidRPr="004640F5">
        <w:rPr>
          <w:rFonts w:ascii="Arial Nova Light" w:eastAsia="Arial Nova" w:hAnsi="Arial Nova Light" w:cs="Arial"/>
          <w:bCs/>
          <w:sz w:val="24"/>
          <w:szCs w:val="24"/>
        </w:rPr>
        <w:t xml:space="preserve">El </w:t>
      </w:r>
      <w:r w:rsidR="00484C44" w:rsidRPr="004640F5">
        <w:rPr>
          <w:rFonts w:ascii="Arial Nova Light" w:eastAsia="Arial Nova" w:hAnsi="Arial Nova Light" w:cs="Arial"/>
          <w:bCs/>
          <w:sz w:val="24"/>
          <w:szCs w:val="24"/>
        </w:rPr>
        <w:t>5</w:t>
      </w:r>
      <w:r w:rsidRPr="004640F5">
        <w:rPr>
          <w:rFonts w:ascii="Arial Nova Light" w:eastAsia="Arial Nova" w:hAnsi="Arial Nova Light" w:cs="Arial"/>
          <w:bCs/>
          <w:sz w:val="24"/>
          <w:szCs w:val="24"/>
        </w:rPr>
        <w:t xml:space="preserve"> de </w:t>
      </w:r>
      <w:r w:rsidR="00484C44" w:rsidRPr="004640F5">
        <w:rPr>
          <w:rFonts w:ascii="Arial Nova Light" w:eastAsia="Arial Nova" w:hAnsi="Arial Nova Light" w:cs="Arial"/>
          <w:bCs/>
          <w:sz w:val="24"/>
          <w:szCs w:val="24"/>
        </w:rPr>
        <w:t>marzo</w:t>
      </w:r>
      <w:r w:rsidRPr="004640F5">
        <w:rPr>
          <w:rFonts w:ascii="Arial Nova Light" w:eastAsia="Arial Nova" w:hAnsi="Arial Nova Light" w:cs="Arial"/>
          <w:bCs/>
          <w:sz w:val="24"/>
          <w:szCs w:val="24"/>
        </w:rPr>
        <w:t xml:space="preserve">, el promovente presentó una solicitud ante el </w:t>
      </w:r>
      <w:r w:rsidR="00881BB6" w:rsidRPr="004640F5">
        <w:rPr>
          <w:rFonts w:ascii="Arial Nova Light" w:eastAsia="Arial Nova" w:hAnsi="Arial Nova Light" w:cs="Arial"/>
          <w:bCs/>
          <w:sz w:val="24"/>
          <w:szCs w:val="24"/>
        </w:rPr>
        <w:t>IEE</w:t>
      </w:r>
      <w:r w:rsidRPr="004640F5">
        <w:rPr>
          <w:rFonts w:ascii="Arial Nova Light" w:eastAsia="Arial Nova" w:hAnsi="Arial Nova Light" w:cs="Arial"/>
          <w:bCs/>
          <w:sz w:val="24"/>
          <w:szCs w:val="24"/>
        </w:rPr>
        <w:t xml:space="preserve"> para que emitiera lineamientos en materia de reelección para las y los legisladores </w:t>
      </w:r>
      <w:r w:rsidRPr="004640F5">
        <w:rPr>
          <w:rFonts w:ascii="Arial Nova Light" w:eastAsia="Arial Nova" w:hAnsi="Arial Nova Light" w:cs="Arial"/>
          <w:bCs/>
          <w:sz w:val="24"/>
          <w:szCs w:val="24"/>
        </w:rPr>
        <w:lastRenderedPageBreak/>
        <w:t xml:space="preserve">locales, con el </w:t>
      </w:r>
      <w:r w:rsidR="006453F6" w:rsidRPr="004640F5">
        <w:rPr>
          <w:rFonts w:ascii="Arial Nova Light" w:eastAsia="Arial Nova" w:hAnsi="Arial Nova Light" w:cs="Arial"/>
          <w:bCs/>
          <w:sz w:val="24"/>
          <w:szCs w:val="24"/>
        </w:rPr>
        <w:t xml:space="preserve">fin de que los legisladores elegidos por el principio de Mayoría Relativa y que pretendan contender por una reelección, lo hagan exclusivamente por el mismo distrito por el que resultaron electos. </w:t>
      </w:r>
    </w:p>
    <w:p w14:paraId="7829AE22" w14:textId="77777777" w:rsidR="00D668F7" w:rsidRPr="004640F5" w:rsidRDefault="00D668F7" w:rsidP="005B6952">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bCs/>
          <w:sz w:val="24"/>
          <w:szCs w:val="24"/>
        </w:rPr>
      </w:pPr>
    </w:p>
    <w:p w14:paraId="43F5091A" w14:textId="704736CB" w:rsidR="00A20C26" w:rsidRPr="004640F5" w:rsidRDefault="00DC3E0F" w:rsidP="005B6952">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4640F5">
        <w:rPr>
          <w:rFonts w:ascii="Arial Nova Light" w:eastAsia="Arial Nova" w:hAnsi="Arial Nova Light" w:cs="Arial"/>
          <w:b/>
          <w:sz w:val="24"/>
          <w:szCs w:val="24"/>
        </w:rPr>
        <w:t xml:space="preserve">Resolución del CG.  </w:t>
      </w:r>
      <w:r w:rsidR="00D668F7" w:rsidRPr="004640F5">
        <w:rPr>
          <w:rFonts w:ascii="Arial Nova Light" w:eastAsia="Arial Nova" w:hAnsi="Arial Nova Light" w:cs="Arial"/>
          <w:bCs/>
          <w:sz w:val="24"/>
          <w:szCs w:val="24"/>
        </w:rPr>
        <w:t xml:space="preserve">El </w:t>
      </w:r>
      <w:r w:rsidRPr="004640F5">
        <w:rPr>
          <w:rFonts w:ascii="Arial Nova Light" w:eastAsia="Arial Nova" w:hAnsi="Arial Nova Light" w:cs="Arial"/>
          <w:bCs/>
          <w:sz w:val="24"/>
          <w:szCs w:val="24"/>
        </w:rPr>
        <w:t>once</w:t>
      </w:r>
      <w:r w:rsidR="00D668F7" w:rsidRPr="004640F5">
        <w:rPr>
          <w:rFonts w:ascii="Arial Nova Light" w:eastAsia="Arial Nova" w:hAnsi="Arial Nova Light" w:cs="Arial"/>
          <w:bCs/>
          <w:sz w:val="24"/>
          <w:szCs w:val="24"/>
        </w:rPr>
        <w:t xml:space="preserve"> de </w:t>
      </w:r>
      <w:r w:rsidRPr="004640F5">
        <w:rPr>
          <w:rFonts w:ascii="Arial Nova Light" w:eastAsia="Arial Nova" w:hAnsi="Arial Nova Light" w:cs="Arial"/>
          <w:bCs/>
          <w:sz w:val="24"/>
          <w:szCs w:val="24"/>
        </w:rPr>
        <w:t>marzo</w:t>
      </w:r>
      <w:r w:rsidR="00D668F7" w:rsidRPr="004640F5">
        <w:rPr>
          <w:rFonts w:ascii="Arial Nova Light" w:eastAsia="Arial Nova" w:hAnsi="Arial Nova Light" w:cs="Arial"/>
          <w:bCs/>
          <w:sz w:val="24"/>
          <w:szCs w:val="24"/>
        </w:rPr>
        <w:t xml:space="preserve">, el </w:t>
      </w:r>
      <w:r w:rsidRPr="004640F5">
        <w:rPr>
          <w:rFonts w:ascii="Arial Nova Light" w:eastAsia="Arial Nova" w:hAnsi="Arial Nova Light" w:cs="Arial"/>
          <w:bCs/>
          <w:sz w:val="24"/>
          <w:szCs w:val="24"/>
        </w:rPr>
        <w:t>CG emitió la Resolución CG-R-15/21</w:t>
      </w:r>
      <w:r w:rsidR="00226603" w:rsidRPr="004640F5">
        <w:rPr>
          <w:rFonts w:ascii="Arial Nova Light" w:eastAsia="Arial Nova" w:hAnsi="Arial Nova Light" w:cs="Arial"/>
          <w:i/>
          <w:iCs/>
          <w:sz w:val="24"/>
          <w:szCs w:val="24"/>
        </w:rPr>
        <w:t xml:space="preserve"> M</w:t>
      </w:r>
      <w:r w:rsidR="00226603" w:rsidRPr="004640F5">
        <w:rPr>
          <w:rFonts w:ascii="Arial Nova Light" w:hAnsi="Arial Nova Light"/>
          <w:i/>
          <w:iCs/>
          <w:sz w:val="24"/>
          <w:szCs w:val="24"/>
          <w:shd w:val="clear" w:color="auto" w:fill="FFFFFF"/>
        </w:rPr>
        <w:t>ediante la cual se atiende la consulta relativa al ejercicio de facultades reglamentarias en materia de reelección</w:t>
      </w:r>
      <w:r w:rsidR="00595A68" w:rsidRPr="004640F5">
        <w:rPr>
          <w:rFonts w:ascii="Arial Nova Light" w:eastAsia="Arial Nova" w:hAnsi="Arial Nova Light" w:cs="Arial"/>
          <w:bCs/>
          <w:sz w:val="24"/>
          <w:szCs w:val="24"/>
        </w:rPr>
        <w:t>.</w:t>
      </w:r>
    </w:p>
    <w:p w14:paraId="14597B17" w14:textId="77777777" w:rsidR="00381365" w:rsidRPr="004640F5" w:rsidRDefault="00381365" w:rsidP="00595A68">
      <w:pPr>
        <w:spacing w:after="0" w:line="360" w:lineRule="auto"/>
        <w:rPr>
          <w:rFonts w:ascii="Arial Nova Light" w:hAnsi="Arial Nova Light" w:cs="Arial"/>
          <w:sz w:val="24"/>
          <w:szCs w:val="24"/>
        </w:rPr>
      </w:pPr>
    </w:p>
    <w:p w14:paraId="0CDDE238" w14:textId="13E5913A" w:rsidR="00C90905" w:rsidRPr="004640F5" w:rsidRDefault="00581175" w:rsidP="006D35DC">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4640F5">
        <w:rPr>
          <w:rFonts w:ascii="Arial Nova Light" w:hAnsi="Arial Nova Light"/>
          <w:b/>
          <w:bCs/>
          <w:sz w:val="24"/>
          <w:szCs w:val="24"/>
        </w:rPr>
        <w:t xml:space="preserve">Presentación de juicio ciudadano </w:t>
      </w:r>
      <w:r w:rsidR="00C90905" w:rsidRPr="004640F5">
        <w:rPr>
          <w:rFonts w:ascii="Arial Nova Light" w:hAnsi="Arial Nova Light"/>
          <w:b/>
          <w:bCs/>
          <w:sz w:val="24"/>
          <w:szCs w:val="24"/>
        </w:rPr>
        <w:t xml:space="preserve">vía </w:t>
      </w:r>
      <w:r w:rsidR="00C90905" w:rsidRPr="004640F5">
        <w:rPr>
          <w:rFonts w:ascii="Arial Nova Light" w:hAnsi="Arial Nova Light"/>
          <w:b/>
          <w:bCs/>
          <w:i/>
          <w:iCs/>
          <w:sz w:val="24"/>
          <w:szCs w:val="24"/>
        </w:rPr>
        <w:t xml:space="preserve">per saltum. </w:t>
      </w:r>
      <w:r w:rsidR="00C90905" w:rsidRPr="004640F5">
        <w:rPr>
          <w:rFonts w:ascii="Arial Nova Light" w:hAnsi="Arial Nova Light"/>
          <w:sz w:val="24"/>
          <w:szCs w:val="24"/>
        </w:rPr>
        <w:t xml:space="preserve">En fecha </w:t>
      </w:r>
      <w:r w:rsidR="00A8706D" w:rsidRPr="004640F5">
        <w:rPr>
          <w:rFonts w:ascii="Arial Nova Light" w:hAnsi="Arial Nova Light"/>
          <w:sz w:val="24"/>
          <w:szCs w:val="24"/>
        </w:rPr>
        <w:t xml:space="preserve">quince de marzo el promovente presentó Juicio para la Protección de los Derechos Político-Electorales del Ciudadano, solicitando el salto de instancia local, por lo que la autoridad responsable remitió el expediente a la Sala Regional Monterrey. </w:t>
      </w:r>
      <w:r w:rsidR="00C90905" w:rsidRPr="004640F5">
        <w:rPr>
          <w:rFonts w:ascii="Arial Nova Light" w:hAnsi="Arial Nova Light"/>
          <w:b/>
          <w:bCs/>
          <w:i/>
          <w:iCs/>
          <w:sz w:val="24"/>
          <w:szCs w:val="24"/>
        </w:rPr>
        <w:t xml:space="preserve"> </w:t>
      </w:r>
    </w:p>
    <w:p w14:paraId="373C2934" w14:textId="77777777" w:rsidR="00C90905" w:rsidRPr="004640F5" w:rsidRDefault="00C90905" w:rsidP="00C90905">
      <w:pPr>
        <w:pStyle w:val="Prrafodelista"/>
        <w:rPr>
          <w:rFonts w:ascii="Arial Nova Light" w:hAnsi="Arial Nova Light"/>
          <w:b/>
          <w:bCs/>
          <w:sz w:val="24"/>
          <w:szCs w:val="24"/>
        </w:rPr>
      </w:pPr>
    </w:p>
    <w:p w14:paraId="60EC2354" w14:textId="33D4C2A5" w:rsidR="00C90905" w:rsidRPr="004640F5" w:rsidRDefault="00444D58" w:rsidP="006D35DC">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4640F5">
        <w:rPr>
          <w:rFonts w:ascii="Arial Nova Light" w:eastAsia="Arial Nova" w:hAnsi="Arial Nova Light" w:cs="Arial"/>
          <w:b/>
          <w:sz w:val="24"/>
          <w:szCs w:val="24"/>
        </w:rPr>
        <w:t xml:space="preserve">Reencauzamiento a este Tribunal Local. </w:t>
      </w:r>
      <w:r w:rsidRPr="004640F5">
        <w:rPr>
          <w:rFonts w:ascii="Arial Nova Light" w:eastAsia="Arial Nova" w:hAnsi="Arial Nova Light" w:cs="Arial"/>
          <w:bCs/>
          <w:sz w:val="24"/>
          <w:szCs w:val="24"/>
        </w:rPr>
        <w:t>En fecha veintinueve de marzo, la Sala Regional Monterrey, mediante acuerdo plenario</w:t>
      </w:r>
      <w:r w:rsidR="00885AFC" w:rsidRPr="004640F5">
        <w:rPr>
          <w:rFonts w:ascii="Arial Nova Light" w:eastAsia="Arial Nova" w:hAnsi="Arial Nova Light" w:cs="Arial"/>
          <w:bCs/>
          <w:sz w:val="24"/>
          <w:szCs w:val="24"/>
        </w:rPr>
        <w:t xml:space="preserve"> dentro del juicio SM-JDC-155/2021,</w:t>
      </w:r>
      <w:r w:rsidRPr="004640F5">
        <w:rPr>
          <w:rFonts w:ascii="Arial Nova Light" w:eastAsia="Arial Nova" w:hAnsi="Arial Nova Light" w:cs="Arial"/>
          <w:bCs/>
          <w:sz w:val="24"/>
          <w:szCs w:val="24"/>
        </w:rPr>
        <w:t xml:space="preserve"> determinó </w:t>
      </w:r>
      <w:r w:rsidR="00885AFC" w:rsidRPr="004640F5">
        <w:rPr>
          <w:rFonts w:ascii="Arial Nova Light" w:eastAsia="Arial Nova" w:hAnsi="Arial Nova Light" w:cs="Arial"/>
          <w:bCs/>
          <w:sz w:val="24"/>
          <w:szCs w:val="24"/>
        </w:rPr>
        <w:t xml:space="preserve">la improcedencia del salto de instancia y reencauzó el Juicio para la Protección de los Derechos Político-Electorales del Ciudadano a este Tribunal Electoral Local, para que en un término de dos días a partir de su recepción se dicte sentencia. </w:t>
      </w:r>
    </w:p>
    <w:p w14:paraId="5E143D62" w14:textId="77777777" w:rsidR="00C90905" w:rsidRPr="004640F5" w:rsidRDefault="00C90905" w:rsidP="00C90905">
      <w:pPr>
        <w:pStyle w:val="Prrafodelista"/>
        <w:rPr>
          <w:rFonts w:ascii="Arial Nova Light" w:hAnsi="Arial Nova Light"/>
          <w:b/>
          <w:bCs/>
          <w:sz w:val="24"/>
          <w:szCs w:val="24"/>
        </w:rPr>
      </w:pPr>
    </w:p>
    <w:p w14:paraId="3FCB3B9A" w14:textId="3CB03F8F" w:rsidR="00442959" w:rsidRPr="004640F5" w:rsidRDefault="00885AFC" w:rsidP="006D35DC">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4640F5">
        <w:rPr>
          <w:rFonts w:ascii="Arial Nova Light" w:hAnsi="Arial Nova Light"/>
          <w:b/>
          <w:bCs/>
          <w:sz w:val="24"/>
          <w:szCs w:val="24"/>
        </w:rPr>
        <w:t>Jui</w:t>
      </w:r>
      <w:r w:rsidR="00E94954" w:rsidRPr="004640F5">
        <w:rPr>
          <w:rFonts w:ascii="Arial Nova Light" w:hAnsi="Arial Nova Light"/>
          <w:b/>
          <w:bCs/>
          <w:sz w:val="24"/>
          <w:szCs w:val="24"/>
        </w:rPr>
        <w:t xml:space="preserve">cio Ciudadano </w:t>
      </w:r>
      <w:r w:rsidR="00581175" w:rsidRPr="004640F5">
        <w:rPr>
          <w:rFonts w:ascii="Arial Nova Light" w:hAnsi="Arial Nova Light"/>
          <w:b/>
          <w:bCs/>
          <w:sz w:val="24"/>
          <w:szCs w:val="24"/>
        </w:rPr>
        <w:t xml:space="preserve">local. </w:t>
      </w:r>
      <w:r w:rsidR="00442959" w:rsidRPr="004640F5">
        <w:rPr>
          <w:rFonts w:ascii="Arial Nova Light" w:hAnsi="Arial Nova Light"/>
          <w:sz w:val="24"/>
          <w:szCs w:val="24"/>
        </w:rPr>
        <w:t>E</w:t>
      </w:r>
      <w:r w:rsidR="00E94954" w:rsidRPr="004640F5">
        <w:rPr>
          <w:rFonts w:ascii="Arial Nova Light" w:hAnsi="Arial Nova Light"/>
          <w:sz w:val="24"/>
          <w:szCs w:val="24"/>
        </w:rPr>
        <w:t xml:space="preserve">l día treinta y uno </w:t>
      </w:r>
      <w:r w:rsidR="00442959" w:rsidRPr="004640F5">
        <w:rPr>
          <w:rFonts w:ascii="Arial Nova Light" w:hAnsi="Arial Nova Light"/>
          <w:sz w:val="24"/>
          <w:szCs w:val="24"/>
        </w:rPr>
        <w:t xml:space="preserve">de marzo, </w:t>
      </w:r>
      <w:r w:rsidR="00E94954" w:rsidRPr="004640F5">
        <w:rPr>
          <w:rFonts w:ascii="Arial Nova Light" w:hAnsi="Arial Nova Light"/>
          <w:sz w:val="24"/>
          <w:szCs w:val="24"/>
        </w:rPr>
        <w:t xml:space="preserve">se recibió el Juicio Reencauzado por Sala Regional Monterrey, en donde el promovente </w:t>
      </w:r>
      <w:r w:rsidR="00442959" w:rsidRPr="004640F5">
        <w:rPr>
          <w:rFonts w:ascii="Arial Nova Light" w:hAnsi="Arial Nova Light"/>
          <w:sz w:val="24"/>
          <w:szCs w:val="24"/>
        </w:rPr>
        <w:t>se inconformó</w:t>
      </w:r>
      <w:r w:rsidR="00B437FC" w:rsidRPr="004640F5">
        <w:rPr>
          <w:rFonts w:ascii="Arial Nova Light" w:hAnsi="Arial Nova Light" w:cs="Arial"/>
          <w:sz w:val="24"/>
          <w:szCs w:val="24"/>
        </w:rPr>
        <w:t xml:space="preserve"> con la respuesta</w:t>
      </w:r>
      <w:r w:rsidR="00381365" w:rsidRPr="004640F5">
        <w:rPr>
          <w:rFonts w:ascii="Arial Nova Light" w:hAnsi="Arial Nova Light" w:cs="Arial"/>
          <w:sz w:val="24"/>
          <w:szCs w:val="24"/>
        </w:rPr>
        <w:t xml:space="preserve"> del CG</w:t>
      </w:r>
      <w:r w:rsidR="00E94954" w:rsidRPr="004640F5">
        <w:rPr>
          <w:rFonts w:ascii="Arial Nova Light" w:hAnsi="Arial Nova Light" w:cs="Arial"/>
          <w:sz w:val="24"/>
          <w:szCs w:val="24"/>
        </w:rPr>
        <w:t>.</w:t>
      </w:r>
      <w:r w:rsidR="00442959" w:rsidRPr="004640F5">
        <w:rPr>
          <w:rFonts w:ascii="Arial Nova Light" w:hAnsi="Arial Nova Light" w:cs="Arial"/>
          <w:sz w:val="24"/>
          <w:szCs w:val="24"/>
        </w:rPr>
        <w:t xml:space="preserve">  </w:t>
      </w:r>
    </w:p>
    <w:p w14:paraId="48999A6C" w14:textId="77777777" w:rsidR="00595A68" w:rsidRPr="004640F5" w:rsidRDefault="00595A68" w:rsidP="00595A68">
      <w:pPr>
        <w:pStyle w:val="Prrafodelista"/>
        <w:rPr>
          <w:rFonts w:ascii="Arial Nova Light" w:eastAsia="Arial Nova" w:hAnsi="Arial Nova Light" w:cs="Arial"/>
          <w:bCs/>
          <w:sz w:val="24"/>
          <w:szCs w:val="24"/>
        </w:rPr>
      </w:pPr>
    </w:p>
    <w:p w14:paraId="6E660A86" w14:textId="3C8C50D0" w:rsidR="00511AE5" w:rsidRPr="00F43F60" w:rsidRDefault="00442959" w:rsidP="009124A6">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9124A6">
        <w:rPr>
          <w:rFonts w:ascii="Arial Nova Light" w:hAnsi="Arial Nova Light"/>
          <w:b/>
          <w:sz w:val="24"/>
          <w:szCs w:val="24"/>
        </w:rPr>
        <w:t>Turno</w:t>
      </w:r>
      <w:r w:rsidR="009124A6" w:rsidRPr="009124A6">
        <w:rPr>
          <w:rFonts w:ascii="Arial Nova Light" w:hAnsi="Arial Nova Light"/>
          <w:b/>
          <w:sz w:val="24"/>
          <w:szCs w:val="24"/>
        </w:rPr>
        <w:t xml:space="preserve"> y</w:t>
      </w:r>
      <w:r w:rsidR="009124A6" w:rsidRPr="009124A6">
        <w:rPr>
          <w:rFonts w:ascii="Arial Nova Light" w:eastAsia="Arial Nova" w:hAnsi="Arial Nova Light" w:cs="Arial"/>
          <w:b/>
          <w:sz w:val="24"/>
          <w:szCs w:val="24"/>
        </w:rPr>
        <w:t xml:space="preserve"> Radicación.</w:t>
      </w:r>
      <w:r w:rsidRPr="009124A6">
        <w:rPr>
          <w:rFonts w:ascii="Arial Nova Light" w:hAnsi="Arial Nova Light"/>
          <w:sz w:val="24"/>
          <w:szCs w:val="24"/>
        </w:rPr>
        <w:t xml:space="preserve"> Por acuerdo de presidencia de </w:t>
      </w:r>
      <w:r w:rsidR="00615C01" w:rsidRPr="009124A6">
        <w:rPr>
          <w:rFonts w:ascii="Arial Nova Light" w:hAnsi="Arial Nova Light"/>
          <w:sz w:val="24"/>
          <w:szCs w:val="24"/>
        </w:rPr>
        <w:t>primero de abril</w:t>
      </w:r>
      <w:r w:rsidRPr="009124A6">
        <w:rPr>
          <w:rFonts w:ascii="Arial Nova Light" w:hAnsi="Arial Nova Light"/>
          <w:sz w:val="24"/>
          <w:szCs w:val="24"/>
        </w:rPr>
        <w:t xml:space="preserve">, se le asignó el número de expediente </w:t>
      </w:r>
      <w:r w:rsidRPr="009124A6">
        <w:rPr>
          <w:rFonts w:ascii="Arial Nova Light" w:hAnsi="Arial Nova Light"/>
          <w:bCs/>
          <w:sz w:val="24"/>
          <w:szCs w:val="24"/>
        </w:rPr>
        <w:t>TEEA-JDC-</w:t>
      </w:r>
      <w:r w:rsidR="00615C01" w:rsidRPr="009124A6">
        <w:rPr>
          <w:rFonts w:ascii="Arial Nova Light" w:hAnsi="Arial Nova Light"/>
          <w:bCs/>
          <w:sz w:val="24"/>
          <w:szCs w:val="24"/>
        </w:rPr>
        <w:t>029</w:t>
      </w:r>
      <w:r w:rsidRPr="009124A6">
        <w:rPr>
          <w:rFonts w:ascii="Arial Nova Light" w:hAnsi="Arial Nova Light"/>
          <w:bCs/>
          <w:sz w:val="24"/>
          <w:szCs w:val="24"/>
        </w:rPr>
        <w:t>/2021</w:t>
      </w:r>
      <w:r w:rsidRPr="009124A6">
        <w:rPr>
          <w:rFonts w:ascii="Arial Nova Light" w:hAnsi="Arial Nova Light"/>
          <w:sz w:val="24"/>
          <w:szCs w:val="24"/>
        </w:rPr>
        <w:t xml:space="preserve"> y fue turnado a la ponencia I, a cargo de la Magistrada Claudia Eloisa Díaz de León González.</w:t>
      </w:r>
      <w:r w:rsidR="00F43F60">
        <w:rPr>
          <w:rFonts w:ascii="Arial Nova Light" w:eastAsia="Arial Nova" w:hAnsi="Arial Nova Light" w:cs="Arial"/>
          <w:bCs/>
          <w:sz w:val="24"/>
          <w:szCs w:val="24"/>
        </w:rPr>
        <w:t xml:space="preserve">  </w:t>
      </w:r>
      <w:r w:rsidR="009124A6" w:rsidRPr="00F43F60">
        <w:rPr>
          <w:rFonts w:ascii="Arial Nova Light" w:eastAsia="Arial Nova" w:hAnsi="Arial Nova Light" w:cs="Arial"/>
          <w:bCs/>
          <w:sz w:val="24"/>
          <w:szCs w:val="24"/>
        </w:rPr>
        <w:t>En misma fecha,</w:t>
      </w:r>
      <w:r w:rsidR="00F43F60" w:rsidRPr="00F43F60">
        <w:rPr>
          <w:rFonts w:ascii="Arial Nova Light" w:eastAsia="Arial Nova" w:hAnsi="Arial Nova Light" w:cs="Arial"/>
          <w:bCs/>
          <w:sz w:val="24"/>
          <w:szCs w:val="24"/>
        </w:rPr>
        <w:t xml:space="preserve"> </w:t>
      </w:r>
      <w:r w:rsidR="00615C01" w:rsidRPr="00F43F60">
        <w:rPr>
          <w:rFonts w:ascii="Arial Nova Light" w:eastAsia="Arial Nova" w:hAnsi="Arial Nova Light" w:cs="Arial"/>
          <w:bCs/>
          <w:sz w:val="24"/>
          <w:szCs w:val="24"/>
        </w:rPr>
        <w:t xml:space="preserve">se radicó el expediente y se ordenó emitir la resolución del asunto. </w:t>
      </w:r>
    </w:p>
    <w:p w14:paraId="73005025" w14:textId="77777777" w:rsidR="006D35DC" w:rsidRPr="004640F5" w:rsidRDefault="006D35DC" w:rsidP="006D35DC">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bCs/>
          <w:sz w:val="24"/>
          <w:szCs w:val="24"/>
        </w:rPr>
      </w:pPr>
    </w:p>
    <w:p w14:paraId="5E453D93" w14:textId="3747E258" w:rsidR="006D35DC" w:rsidRPr="004640F5" w:rsidRDefault="007E2F45" w:rsidP="006D35DC">
      <w:pPr>
        <w:numPr>
          <w:ilvl w:val="0"/>
          <w:numId w:val="1"/>
        </w:numPr>
        <w:pBdr>
          <w:top w:val="nil"/>
          <w:left w:val="nil"/>
          <w:bottom w:val="nil"/>
          <w:right w:val="nil"/>
          <w:between w:val="nil"/>
        </w:pBdr>
        <w:tabs>
          <w:tab w:val="left" w:pos="0"/>
        </w:tabs>
        <w:spacing w:after="280" w:line="360" w:lineRule="auto"/>
        <w:ind w:left="0" w:firstLine="0"/>
        <w:jc w:val="both"/>
        <w:rPr>
          <w:rFonts w:ascii="Arial Nova Light" w:eastAsia="Arial Nova" w:hAnsi="Arial Nova Light" w:cs="Arial"/>
          <w:sz w:val="24"/>
          <w:szCs w:val="24"/>
        </w:rPr>
      </w:pPr>
      <w:r w:rsidRPr="004640F5">
        <w:rPr>
          <w:rFonts w:ascii="Arial Nova Light" w:eastAsia="Arial Nova" w:hAnsi="Arial Nova Light" w:cs="Arial"/>
          <w:b/>
          <w:sz w:val="24"/>
          <w:szCs w:val="24"/>
        </w:rPr>
        <w:t xml:space="preserve">COMPETENCIA. </w:t>
      </w:r>
      <w:r w:rsidRPr="004640F5">
        <w:rPr>
          <w:rFonts w:ascii="Arial Nova Light" w:eastAsia="Arial Nova" w:hAnsi="Arial Nova Light" w:cs="Arial"/>
          <w:sz w:val="24"/>
          <w:szCs w:val="24"/>
        </w:rPr>
        <w:t xml:space="preserve">De conformidad con lo dispuesto en los artículos 1, 2, 9 y 10, fracción IV de los </w:t>
      </w:r>
      <w:r w:rsidRPr="004640F5">
        <w:rPr>
          <w:rFonts w:ascii="Arial Nova Light" w:eastAsia="Arial Nova" w:hAnsi="Arial Nova Light" w:cs="Arial"/>
          <w:i/>
          <w:iCs/>
          <w:sz w:val="24"/>
          <w:szCs w:val="24"/>
        </w:rPr>
        <w:t>Lineamientos para la tramitación, sustanciación y resolución del juicio para la protección de los derechos político-electorales del ciudadano, el juicio electoral, y asunto general</w:t>
      </w:r>
      <w:r w:rsidRPr="004640F5">
        <w:rPr>
          <w:rFonts w:ascii="Arial Nova Light" w:eastAsia="Arial Nova" w:hAnsi="Arial Nova Light" w:cs="Arial"/>
          <w:sz w:val="24"/>
          <w:szCs w:val="24"/>
        </w:rPr>
        <w:t xml:space="preserve">, competencia del Tribunal Electoral del Estado de Aguascalientes y 9 del </w:t>
      </w:r>
      <w:r w:rsidRPr="004640F5">
        <w:rPr>
          <w:rFonts w:ascii="Arial Nova Light" w:eastAsia="Arial Nova" w:hAnsi="Arial Nova Light" w:cs="Arial"/>
          <w:i/>
          <w:iCs/>
          <w:sz w:val="24"/>
          <w:szCs w:val="24"/>
        </w:rPr>
        <w:t>Reglamento Interior</w:t>
      </w:r>
      <w:r w:rsidRPr="004640F5">
        <w:rPr>
          <w:rFonts w:ascii="Arial Nova Light" w:eastAsia="Arial Nova" w:hAnsi="Arial Nova Light" w:cs="Arial"/>
          <w:sz w:val="24"/>
          <w:szCs w:val="24"/>
        </w:rPr>
        <w:t xml:space="preserve">, este Tribunal es competente para conocer y resolver el Juicio para la Protección de los Derechos Político-Electorales del Ciudadano </w:t>
      </w:r>
      <w:r w:rsidR="0010436F" w:rsidRPr="004640F5">
        <w:rPr>
          <w:rFonts w:ascii="Arial Nova Light" w:hAnsi="Arial Nova Light" w:cs="Arial"/>
          <w:sz w:val="24"/>
          <w:szCs w:val="24"/>
          <w:lang w:val="es-ES_tradnl"/>
        </w:rPr>
        <w:t xml:space="preserve">promovido por </w:t>
      </w:r>
      <w:r w:rsidR="00615C01" w:rsidRPr="004640F5">
        <w:rPr>
          <w:rFonts w:ascii="Arial Nova Light" w:eastAsia="Arial Nova" w:hAnsi="Arial Nova Light" w:cs="Arial"/>
          <w:sz w:val="24"/>
          <w:szCs w:val="24"/>
        </w:rPr>
        <w:t>Juan Francisco Galicia Echeverría</w:t>
      </w:r>
      <w:r w:rsidR="00615C01" w:rsidRPr="004640F5">
        <w:rPr>
          <w:rFonts w:ascii="Arial Nova Light" w:hAnsi="Arial Nova Light" w:cs="Arial"/>
          <w:sz w:val="24"/>
          <w:szCs w:val="24"/>
          <w:lang w:val="es-ES_tradnl"/>
        </w:rPr>
        <w:t xml:space="preserve"> </w:t>
      </w:r>
      <w:r w:rsidR="0010436F" w:rsidRPr="004640F5">
        <w:rPr>
          <w:rFonts w:ascii="Arial Nova Light" w:hAnsi="Arial Nova Light" w:cs="Arial"/>
          <w:sz w:val="24"/>
          <w:szCs w:val="24"/>
          <w:lang w:val="es-ES_tradnl"/>
        </w:rPr>
        <w:t xml:space="preserve">en su calidad de ciudadano, en contra de </w:t>
      </w:r>
      <w:r w:rsidR="00511AE5" w:rsidRPr="004640F5">
        <w:rPr>
          <w:rFonts w:ascii="Arial Nova Light" w:hAnsi="Arial Nova Light" w:cs="Arial"/>
          <w:sz w:val="24"/>
          <w:szCs w:val="24"/>
          <w:lang w:val="es-ES_tradnl"/>
        </w:rPr>
        <w:t>la resolución del</w:t>
      </w:r>
      <w:r w:rsidR="0010436F" w:rsidRPr="004640F5">
        <w:rPr>
          <w:rFonts w:ascii="Arial Nova Light" w:hAnsi="Arial Nova Light" w:cs="Arial"/>
          <w:sz w:val="24"/>
          <w:szCs w:val="24"/>
          <w:lang w:val="es-ES_tradnl"/>
        </w:rPr>
        <w:t xml:space="preserve"> Instituto local en el cual </w:t>
      </w:r>
      <w:r w:rsidR="0010436F" w:rsidRPr="004640F5">
        <w:rPr>
          <w:rFonts w:ascii="Arial Nova Light" w:hAnsi="Arial Nova Light" w:cs="Arial"/>
          <w:sz w:val="24"/>
          <w:szCs w:val="24"/>
          <w:lang w:val="es-ES_tradnl"/>
        </w:rPr>
        <w:lastRenderedPageBreak/>
        <w:t>se dio respuesta a la solicitud relacionada con la emisión de lineamientos en materia de reelección de diputaciones en esta entidad federativa</w:t>
      </w:r>
      <w:r w:rsidR="006D35DC" w:rsidRPr="004640F5">
        <w:rPr>
          <w:rFonts w:ascii="Arial Nova Light" w:eastAsia="Arial Nova" w:hAnsi="Arial Nova Light" w:cs="Arial"/>
          <w:sz w:val="24"/>
          <w:szCs w:val="24"/>
        </w:rPr>
        <w:t>.</w:t>
      </w:r>
    </w:p>
    <w:p w14:paraId="4B414BA2" w14:textId="6883B8EC" w:rsidR="00B8120E" w:rsidRPr="004640F5" w:rsidRDefault="005755CB" w:rsidP="005B6952">
      <w:pPr>
        <w:numPr>
          <w:ilvl w:val="0"/>
          <w:numId w:val="1"/>
        </w:numPr>
        <w:pBdr>
          <w:top w:val="nil"/>
          <w:left w:val="nil"/>
          <w:bottom w:val="nil"/>
          <w:right w:val="nil"/>
          <w:between w:val="nil"/>
        </w:pBdr>
        <w:tabs>
          <w:tab w:val="left" w:pos="0"/>
        </w:tabs>
        <w:spacing w:after="280" w:line="360" w:lineRule="auto"/>
        <w:ind w:left="0" w:firstLine="0"/>
        <w:jc w:val="both"/>
        <w:rPr>
          <w:rFonts w:ascii="Arial Nova Light" w:eastAsia="Arial Nova" w:hAnsi="Arial Nova Light" w:cs="Arial"/>
          <w:sz w:val="24"/>
          <w:szCs w:val="24"/>
        </w:rPr>
      </w:pPr>
      <w:r w:rsidRPr="004640F5">
        <w:rPr>
          <w:rFonts w:ascii="Arial Nova Light" w:eastAsia="Arial Nova" w:hAnsi="Arial Nova Light" w:cs="Arial"/>
          <w:b/>
          <w:sz w:val="24"/>
          <w:szCs w:val="24"/>
        </w:rPr>
        <w:t xml:space="preserve">REQUISITOS DE </w:t>
      </w:r>
      <w:r w:rsidR="00EC4063" w:rsidRPr="004640F5">
        <w:rPr>
          <w:rFonts w:ascii="Arial Nova Light" w:eastAsia="Arial Nova" w:hAnsi="Arial Nova Light" w:cs="Arial"/>
          <w:b/>
          <w:sz w:val="24"/>
          <w:szCs w:val="24"/>
        </w:rPr>
        <w:t xml:space="preserve">PROCEDENCIA.     </w:t>
      </w:r>
      <w:r w:rsidR="00785BF7" w:rsidRPr="004640F5">
        <w:rPr>
          <w:rFonts w:ascii="Arial Nova Light" w:eastAsia="Arial Nova" w:hAnsi="Arial Nova Light" w:cs="Arial"/>
          <w:bCs/>
          <w:sz w:val="24"/>
          <w:szCs w:val="24"/>
        </w:rPr>
        <w:t xml:space="preserve">A efecto de proceder </w:t>
      </w:r>
      <w:r w:rsidR="00B8120E" w:rsidRPr="004640F5">
        <w:rPr>
          <w:rFonts w:ascii="Arial Nova Light" w:eastAsia="Arial Nova" w:hAnsi="Arial Nova Light" w:cs="Arial"/>
          <w:bCs/>
          <w:sz w:val="24"/>
          <w:szCs w:val="24"/>
        </w:rPr>
        <w:t>con el estudio de fondo de los agravios planteados por el promovente</w:t>
      </w:r>
      <w:r w:rsidR="00785BF7" w:rsidRPr="004640F5">
        <w:rPr>
          <w:rFonts w:ascii="Arial Nova Light" w:eastAsia="Arial Nova" w:hAnsi="Arial Nova Light" w:cs="Arial"/>
          <w:bCs/>
          <w:sz w:val="24"/>
          <w:szCs w:val="24"/>
        </w:rPr>
        <w:t xml:space="preserve">, es oportuno revisar si se encuentran </w:t>
      </w:r>
      <w:r w:rsidR="00EC4063" w:rsidRPr="004640F5">
        <w:rPr>
          <w:rFonts w:ascii="Arial Nova Light" w:eastAsia="Arial Nova" w:hAnsi="Arial Nova Light" w:cs="Arial"/>
          <w:sz w:val="24"/>
          <w:szCs w:val="24"/>
        </w:rPr>
        <w:t>satisfechos los requisitos de procedibilidad del JDC previstos en el artículo 302</w:t>
      </w:r>
      <w:r w:rsidR="00D84B87" w:rsidRPr="004640F5">
        <w:rPr>
          <w:rFonts w:ascii="Arial Nova Light" w:eastAsia="Arial Nova" w:hAnsi="Arial Nova Light" w:cs="Arial"/>
          <w:sz w:val="24"/>
          <w:szCs w:val="24"/>
        </w:rPr>
        <w:t xml:space="preserve">, párrafo </w:t>
      </w:r>
      <w:r w:rsidR="005C6AA3" w:rsidRPr="004640F5">
        <w:rPr>
          <w:rFonts w:ascii="Arial Nova Light" w:eastAsia="Arial Nova" w:hAnsi="Arial Nova Light" w:cs="Arial"/>
          <w:sz w:val="24"/>
          <w:szCs w:val="24"/>
        </w:rPr>
        <w:t>primero y 307</w:t>
      </w:r>
      <w:r w:rsidR="00EC4063" w:rsidRPr="004640F5">
        <w:rPr>
          <w:rFonts w:ascii="Arial Nova Light" w:eastAsia="Arial Nova" w:hAnsi="Arial Nova Light" w:cs="Arial"/>
          <w:sz w:val="24"/>
          <w:szCs w:val="24"/>
        </w:rPr>
        <w:t xml:space="preserve"> del Código Electoral</w:t>
      </w:r>
      <w:r w:rsidR="005C6AA3" w:rsidRPr="004640F5">
        <w:rPr>
          <w:rFonts w:ascii="Arial Nova Light" w:eastAsia="Arial Nova" w:hAnsi="Arial Nova Light" w:cs="Arial"/>
          <w:sz w:val="24"/>
          <w:szCs w:val="24"/>
        </w:rPr>
        <w:t xml:space="preserve">, en relación con los diversos 1°, 2°, 10 y 11 de los </w:t>
      </w:r>
      <w:r w:rsidR="000C3C4E" w:rsidRPr="004640F5">
        <w:rPr>
          <w:rFonts w:ascii="Arial Nova Light" w:hAnsi="Arial Nova Light"/>
          <w:sz w:val="24"/>
          <w:szCs w:val="24"/>
        </w:rPr>
        <w:t>Lineamientos para la Tramitación, Sustanciación y Resolución del Juicio para la Protección de los Derechos Político-Electorales del Ciudadano, el Juicio Electoral y Asunto General.</w:t>
      </w:r>
    </w:p>
    <w:p w14:paraId="05842BD8" w14:textId="7513CA28" w:rsidR="00EC4063" w:rsidRPr="004640F5" w:rsidRDefault="00EC4063" w:rsidP="005B6952">
      <w:pPr>
        <w:pStyle w:val="Prrafodelista"/>
        <w:pBdr>
          <w:top w:val="nil"/>
          <w:left w:val="nil"/>
          <w:bottom w:val="nil"/>
          <w:right w:val="nil"/>
          <w:between w:val="nil"/>
        </w:pBdr>
        <w:tabs>
          <w:tab w:val="left" w:pos="0"/>
        </w:tabs>
        <w:spacing w:after="280" w:line="360" w:lineRule="auto"/>
        <w:ind w:left="0"/>
        <w:jc w:val="both"/>
        <w:rPr>
          <w:rFonts w:ascii="Arial Nova Light" w:eastAsia="Arial Nova" w:hAnsi="Arial Nova Light" w:cs="Arial"/>
          <w:sz w:val="24"/>
          <w:szCs w:val="24"/>
        </w:rPr>
      </w:pPr>
      <w:r w:rsidRPr="004640F5">
        <w:rPr>
          <w:rFonts w:ascii="Arial Nova Light" w:eastAsia="Arial Nova" w:hAnsi="Arial Nova Light" w:cs="Arial"/>
          <w:b/>
          <w:sz w:val="24"/>
          <w:szCs w:val="24"/>
        </w:rPr>
        <w:t xml:space="preserve">Forma. </w:t>
      </w:r>
      <w:r w:rsidRPr="004640F5">
        <w:rPr>
          <w:rFonts w:ascii="Arial Nova Light" w:eastAsia="Arial Nova" w:hAnsi="Arial Nova Light" w:cs="Arial"/>
          <w:sz w:val="24"/>
          <w:szCs w:val="24"/>
        </w:rPr>
        <w:t>La demanda fue presentada por escrito, se identific</w:t>
      </w:r>
      <w:r w:rsidR="006C6687" w:rsidRPr="004640F5">
        <w:rPr>
          <w:rFonts w:ascii="Arial Nova Light" w:eastAsia="Arial Nova" w:hAnsi="Arial Nova Light" w:cs="Arial"/>
          <w:sz w:val="24"/>
          <w:szCs w:val="24"/>
        </w:rPr>
        <w:t>ó</w:t>
      </w:r>
      <w:r w:rsidR="00B82643" w:rsidRPr="004640F5">
        <w:rPr>
          <w:rFonts w:ascii="Arial Nova Light" w:eastAsia="Arial Nova" w:hAnsi="Arial Nova Light" w:cs="Arial"/>
          <w:sz w:val="24"/>
          <w:szCs w:val="24"/>
        </w:rPr>
        <w:t xml:space="preserve"> </w:t>
      </w:r>
      <w:r w:rsidR="006C6687" w:rsidRPr="004640F5">
        <w:rPr>
          <w:rFonts w:ascii="Arial Nova Light" w:eastAsia="Arial Nova" w:hAnsi="Arial Nova Light" w:cs="Arial"/>
          <w:sz w:val="24"/>
          <w:szCs w:val="24"/>
        </w:rPr>
        <w:t>el</w:t>
      </w:r>
      <w:r w:rsidRPr="004640F5">
        <w:rPr>
          <w:rFonts w:ascii="Arial Nova Light" w:eastAsia="Arial Nova" w:hAnsi="Arial Nova Light" w:cs="Arial"/>
          <w:sz w:val="24"/>
          <w:szCs w:val="24"/>
        </w:rPr>
        <w:t xml:space="preserve"> acto impugnado, se expusieron los hechos y agravios en los que se basan </w:t>
      </w:r>
      <w:r w:rsidR="006C6687" w:rsidRPr="004640F5">
        <w:rPr>
          <w:rFonts w:ascii="Arial Nova Light" w:eastAsia="Arial Nova" w:hAnsi="Arial Nova Light" w:cs="Arial"/>
          <w:sz w:val="24"/>
          <w:szCs w:val="24"/>
        </w:rPr>
        <w:t>su pretensión</w:t>
      </w:r>
      <w:r w:rsidRPr="004640F5">
        <w:rPr>
          <w:rFonts w:ascii="Arial Nova Light" w:eastAsia="Arial Nova" w:hAnsi="Arial Nova Light" w:cs="Arial"/>
          <w:sz w:val="24"/>
          <w:szCs w:val="24"/>
        </w:rPr>
        <w:t xml:space="preserve">, los preceptos </w:t>
      </w:r>
      <w:r w:rsidR="006C6687" w:rsidRPr="004640F5">
        <w:rPr>
          <w:rFonts w:ascii="Arial Nova Light" w:eastAsia="Arial Nova" w:hAnsi="Arial Nova Light" w:cs="Arial"/>
          <w:sz w:val="24"/>
          <w:szCs w:val="24"/>
        </w:rPr>
        <w:t>que considera</w:t>
      </w:r>
      <w:r w:rsidRPr="004640F5">
        <w:rPr>
          <w:rFonts w:ascii="Arial Nova Light" w:eastAsia="Arial Nova" w:hAnsi="Arial Nova Light" w:cs="Arial"/>
          <w:sz w:val="24"/>
          <w:szCs w:val="24"/>
        </w:rPr>
        <w:t xml:space="preserve"> violados, así como </w:t>
      </w:r>
      <w:r w:rsidR="007633FA" w:rsidRPr="004640F5">
        <w:rPr>
          <w:rFonts w:ascii="Arial Nova Light" w:eastAsia="Arial Nova" w:hAnsi="Arial Nova Light" w:cs="Arial"/>
          <w:sz w:val="24"/>
          <w:szCs w:val="24"/>
        </w:rPr>
        <w:t>el</w:t>
      </w:r>
      <w:r w:rsidRPr="004640F5">
        <w:rPr>
          <w:rFonts w:ascii="Arial Nova Light" w:eastAsia="Arial Nova" w:hAnsi="Arial Nova Light" w:cs="Arial"/>
          <w:sz w:val="24"/>
          <w:szCs w:val="24"/>
        </w:rPr>
        <w:t xml:space="preserve"> nombre y firma autógrafas del promovente.</w:t>
      </w:r>
    </w:p>
    <w:p w14:paraId="3A92B571" w14:textId="6A56C8BB" w:rsidR="00EC4063" w:rsidRPr="004640F5" w:rsidRDefault="00EC4063" w:rsidP="005B6952">
      <w:pPr>
        <w:pBdr>
          <w:top w:val="nil"/>
          <w:left w:val="nil"/>
          <w:bottom w:val="nil"/>
          <w:right w:val="nil"/>
          <w:between w:val="nil"/>
        </w:pBdr>
        <w:tabs>
          <w:tab w:val="right" w:pos="567"/>
        </w:tabs>
        <w:spacing w:after="0" w:line="360" w:lineRule="auto"/>
        <w:jc w:val="both"/>
        <w:rPr>
          <w:rFonts w:ascii="Arial Nova Light" w:eastAsia="Arial Nova" w:hAnsi="Arial Nova Light" w:cs="Arial"/>
          <w:sz w:val="24"/>
          <w:szCs w:val="24"/>
        </w:rPr>
      </w:pPr>
      <w:r w:rsidRPr="004640F5">
        <w:rPr>
          <w:rFonts w:ascii="Arial Nova Light" w:eastAsia="Arial Nova" w:hAnsi="Arial Nova Light" w:cs="Arial"/>
          <w:b/>
          <w:sz w:val="24"/>
          <w:szCs w:val="24"/>
        </w:rPr>
        <w:t xml:space="preserve">Oportunidad. </w:t>
      </w:r>
      <w:r w:rsidR="007633FA" w:rsidRPr="004640F5">
        <w:rPr>
          <w:rFonts w:ascii="Arial Nova Light" w:eastAsia="Arial Nova" w:hAnsi="Arial Nova Light" w:cs="Arial"/>
          <w:bCs/>
          <w:sz w:val="24"/>
          <w:szCs w:val="24"/>
        </w:rPr>
        <w:t xml:space="preserve">Se tiene por interpuesto en tiempo el medio de impugnación, ya que, como consta en autos, </w:t>
      </w:r>
      <w:r w:rsidR="004E7AB7" w:rsidRPr="004640F5">
        <w:rPr>
          <w:rFonts w:ascii="Arial Nova Light" w:eastAsia="Arial Nova" w:hAnsi="Arial Nova Light" w:cs="Arial"/>
          <w:bCs/>
          <w:sz w:val="24"/>
          <w:szCs w:val="24"/>
        </w:rPr>
        <w:t xml:space="preserve">el medio fue presentado el día </w:t>
      </w:r>
      <w:r w:rsidR="000C2A2C" w:rsidRPr="004640F5">
        <w:rPr>
          <w:rFonts w:ascii="Arial Nova Light" w:eastAsia="Arial Nova" w:hAnsi="Arial Nova Light" w:cs="Arial"/>
          <w:bCs/>
          <w:sz w:val="24"/>
          <w:szCs w:val="24"/>
        </w:rPr>
        <w:t>tres</w:t>
      </w:r>
      <w:r w:rsidR="004E7AB7" w:rsidRPr="004640F5">
        <w:rPr>
          <w:rFonts w:ascii="Arial Nova Light" w:eastAsia="Arial Nova" w:hAnsi="Arial Nova Light" w:cs="Arial"/>
          <w:bCs/>
          <w:sz w:val="24"/>
          <w:szCs w:val="24"/>
        </w:rPr>
        <w:t xml:space="preserve"> </w:t>
      </w:r>
      <w:r w:rsidR="000C2A2C" w:rsidRPr="004640F5">
        <w:rPr>
          <w:rFonts w:ascii="Arial Nova Light" w:eastAsia="Arial Nova" w:hAnsi="Arial Nova Light" w:cs="Arial"/>
          <w:bCs/>
          <w:sz w:val="24"/>
          <w:szCs w:val="24"/>
        </w:rPr>
        <w:t xml:space="preserve">de marzo, dentro del plazo legal para impugnar, es decir dentro de los cuatro días siguientes a su notificación. </w:t>
      </w:r>
      <w:r w:rsidR="004E7AB7" w:rsidRPr="004640F5">
        <w:rPr>
          <w:rFonts w:ascii="Arial Nova Light" w:eastAsia="Arial Nova" w:hAnsi="Arial Nova Light" w:cs="Arial"/>
          <w:bCs/>
          <w:sz w:val="24"/>
          <w:szCs w:val="24"/>
        </w:rPr>
        <w:t xml:space="preserve"> </w:t>
      </w:r>
    </w:p>
    <w:p w14:paraId="68317F3A" w14:textId="77777777" w:rsidR="00CA5DC4" w:rsidRPr="004640F5" w:rsidRDefault="00CA5DC4" w:rsidP="005B6952">
      <w:pPr>
        <w:pBdr>
          <w:top w:val="nil"/>
          <w:left w:val="nil"/>
          <w:bottom w:val="nil"/>
          <w:right w:val="nil"/>
          <w:between w:val="nil"/>
        </w:pBdr>
        <w:tabs>
          <w:tab w:val="right" w:pos="567"/>
        </w:tabs>
        <w:spacing w:after="0" w:line="360" w:lineRule="auto"/>
        <w:jc w:val="both"/>
        <w:rPr>
          <w:rFonts w:ascii="Arial Nova Light" w:eastAsia="Arial Nova" w:hAnsi="Arial Nova Light" w:cs="Arial"/>
          <w:bCs/>
          <w:sz w:val="24"/>
          <w:szCs w:val="24"/>
        </w:rPr>
      </w:pPr>
    </w:p>
    <w:p w14:paraId="4DD9ADE1" w14:textId="7AA2D235" w:rsidR="000A5719" w:rsidRPr="004640F5" w:rsidRDefault="00EC4063" w:rsidP="006D35DC">
      <w:pPr>
        <w:pStyle w:val="NormalWeb"/>
        <w:pBdr>
          <w:top w:val="nil"/>
          <w:left w:val="nil"/>
          <w:bottom w:val="nil"/>
          <w:right w:val="nil"/>
          <w:between w:val="nil"/>
        </w:pBdr>
        <w:tabs>
          <w:tab w:val="center" w:pos="567"/>
          <w:tab w:val="right" w:pos="8838"/>
        </w:tabs>
        <w:spacing w:before="0" w:beforeAutospacing="0" w:after="0" w:afterAutospacing="0" w:line="360" w:lineRule="auto"/>
        <w:contextualSpacing/>
        <w:mirrorIndents/>
        <w:jc w:val="both"/>
        <w:rPr>
          <w:rFonts w:ascii="Arial Nova Light" w:eastAsia="Arial Nova" w:hAnsi="Arial Nova Light" w:cs="Arial"/>
        </w:rPr>
      </w:pPr>
      <w:r w:rsidRPr="004640F5">
        <w:rPr>
          <w:rFonts w:ascii="Arial Nova Light" w:eastAsia="Arial Nova" w:hAnsi="Arial Nova Light" w:cs="Arial"/>
          <w:b/>
        </w:rPr>
        <w:t xml:space="preserve">Legitimación y Personería. </w:t>
      </w:r>
      <w:r w:rsidR="001E4BF8" w:rsidRPr="004640F5">
        <w:rPr>
          <w:rFonts w:ascii="Arial Nova Light" w:eastAsia="Arial Nova" w:hAnsi="Arial Nova Light" w:cs="Arial"/>
        </w:rPr>
        <w:t xml:space="preserve">  </w:t>
      </w:r>
      <w:r w:rsidR="001E4BF8" w:rsidRPr="004640F5">
        <w:rPr>
          <w:rFonts w:ascii="Arial Nova Light" w:hAnsi="Arial Nova Light" w:cs="Arial"/>
        </w:rPr>
        <w:t xml:space="preserve">La demanda fue promovida por el C. </w:t>
      </w:r>
      <w:r w:rsidR="00F3027C" w:rsidRPr="004640F5">
        <w:rPr>
          <w:rFonts w:ascii="Arial Nova Light" w:eastAsia="Arial Nova" w:hAnsi="Arial Nova Light" w:cs="Arial"/>
        </w:rPr>
        <w:t>Juan Francisco Galicia Echeverría</w:t>
      </w:r>
      <w:r w:rsidR="007D1B8C" w:rsidRPr="004640F5">
        <w:rPr>
          <w:rFonts w:ascii="Arial Nova Light" w:hAnsi="Arial Nova Light" w:cs="Arial"/>
        </w:rPr>
        <w:t xml:space="preserve">, por su propio derecho. </w:t>
      </w:r>
      <w:r w:rsidR="00B94D34" w:rsidRPr="004640F5">
        <w:rPr>
          <w:rFonts w:ascii="Arial Nova Light" w:hAnsi="Arial Nova Light" w:cs="Arial"/>
        </w:rPr>
        <w:t xml:space="preserve"> </w:t>
      </w:r>
    </w:p>
    <w:p w14:paraId="3C7EE266" w14:textId="77777777" w:rsidR="00B44840" w:rsidRPr="004640F5" w:rsidRDefault="00B44840" w:rsidP="006D35DC">
      <w:pPr>
        <w:pBdr>
          <w:top w:val="nil"/>
          <w:left w:val="nil"/>
          <w:bottom w:val="nil"/>
          <w:right w:val="nil"/>
          <w:between w:val="nil"/>
        </w:pBdr>
        <w:tabs>
          <w:tab w:val="left" w:pos="0"/>
        </w:tabs>
        <w:spacing w:after="0" w:line="360" w:lineRule="auto"/>
        <w:jc w:val="both"/>
        <w:rPr>
          <w:rFonts w:ascii="Arial Nova Light" w:eastAsia="Arial Nova" w:hAnsi="Arial Nova Light" w:cs="Arial"/>
          <w:b/>
          <w:sz w:val="24"/>
          <w:szCs w:val="24"/>
        </w:rPr>
      </w:pPr>
    </w:p>
    <w:p w14:paraId="0BF0376F" w14:textId="503B6F8C" w:rsidR="00F45233" w:rsidRPr="004640F5" w:rsidRDefault="005755CB" w:rsidP="006D35DC">
      <w:pPr>
        <w:pStyle w:val="Prrafodelista"/>
        <w:numPr>
          <w:ilvl w:val="0"/>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w:bCs/>
          <w:sz w:val="24"/>
          <w:szCs w:val="24"/>
        </w:rPr>
      </w:pPr>
      <w:r w:rsidRPr="004640F5">
        <w:rPr>
          <w:rFonts w:ascii="Arial Nova Light" w:eastAsia="Arial Nova" w:hAnsi="Arial Nova Light" w:cs="Arial"/>
          <w:b/>
          <w:sz w:val="24"/>
          <w:szCs w:val="24"/>
        </w:rPr>
        <w:t xml:space="preserve">CAUSALES DE </w:t>
      </w:r>
      <w:r w:rsidR="00C00D1E" w:rsidRPr="004640F5">
        <w:rPr>
          <w:rFonts w:ascii="Arial Nova Light" w:eastAsia="Arial Nova" w:hAnsi="Arial Nova Light" w:cs="Arial"/>
          <w:b/>
          <w:sz w:val="24"/>
          <w:szCs w:val="24"/>
        </w:rPr>
        <w:t xml:space="preserve">IMPROCEDENCIA. </w:t>
      </w:r>
      <w:r w:rsidR="000D2B9E" w:rsidRPr="004640F5">
        <w:rPr>
          <w:rFonts w:ascii="Arial Nova Light" w:eastAsia="Arial Nova" w:hAnsi="Arial Nova Light" w:cs="Arial"/>
          <w:b/>
          <w:sz w:val="24"/>
          <w:szCs w:val="24"/>
        </w:rPr>
        <w:t xml:space="preserve"> </w:t>
      </w:r>
      <w:r w:rsidR="001D310D" w:rsidRPr="004640F5">
        <w:rPr>
          <w:rFonts w:ascii="Arial Nova Light" w:eastAsia="Arial Nova" w:hAnsi="Arial Nova Light" w:cs="Arial"/>
          <w:bCs/>
          <w:sz w:val="24"/>
          <w:szCs w:val="24"/>
        </w:rPr>
        <w:t xml:space="preserve">Previo al estudio de fondo, por tratarse de una cuestión de orden público y de estudio preferente, se procede a analizar las causales de improcedencia o de sobreseimiento que pudieran actualizarse, en términos de lo previsto por el artículo 303, 304 y 305 del Código Electoral. </w:t>
      </w:r>
    </w:p>
    <w:p w14:paraId="65ECF712" w14:textId="77777777" w:rsidR="001D310D" w:rsidRPr="004640F5" w:rsidRDefault="001D310D" w:rsidP="005B6952">
      <w:pPr>
        <w:pBdr>
          <w:top w:val="nil"/>
          <w:left w:val="nil"/>
          <w:bottom w:val="nil"/>
          <w:right w:val="nil"/>
          <w:between w:val="nil"/>
        </w:pBdr>
        <w:tabs>
          <w:tab w:val="left" w:pos="0"/>
        </w:tabs>
        <w:spacing w:after="0" w:line="360" w:lineRule="auto"/>
        <w:jc w:val="both"/>
        <w:rPr>
          <w:rFonts w:ascii="Arial Nova Light" w:eastAsia="Arial Nova" w:hAnsi="Arial Nova Light" w:cs="Arial"/>
          <w:b/>
          <w:sz w:val="24"/>
          <w:szCs w:val="24"/>
        </w:rPr>
      </w:pPr>
    </w:p>
    <w:p w14:paraId="69D3A2E3" w14:textId="53281F7C" w:rsidR="00D560C2" w:rsidRPr="004640F5" w:rsidRDefault="007E2F45" w:rsidP="004640F5">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4640F5">
        <w:rPr>
          <w:rFonts w:ascii="Arial Nova Light" w:eastAsia="Arial Nova" w:hAnsi="Arial Nova Light" w:cs="Arial"/>
          <w:b/>
          <w:sz w:val="24"/>
          <w:szCs w:val="24"/>
        </w:rPr>
        <w:t xml:space="preserve">PRECISIÓN DEL ACTO IMPUGNADO.  </w:t>
      </w:r>
      <w:r w:rsidR="00FF3A06" w:rsidRPr="004640F5">
        <w:rPr>
          <w:rFonts w:ascii="Arial Nova Light" w:eastAsia="Arial Nova" w:hAnsi="Arial Nova Light" w:cs="Arial"/>
          <w:bCs/>
          <w:sz w:val="24"/>
          <w:szCs w:val="24"/>
        </w:rPr>
        <w:t>E</w:t>
      </w:r>
      <w:r w:rsidR="00FF3A06" w:rsidRPr="004640F5">
        <w:rPr>
          <w:rFonts w:ascii="Arial Nova Light" w:eastAsia="Arial Nova" w:hAnsi="Arial Nova Light" w:cs="Arial"/>
          <w:sz w:val="24"/>
          <w:szCs w:val="24"/>
        </w:rPr>
        <w:t xml:space="preserve">ste Órgano Jurisdiccional tiene el deber de leer cuidadosa y detenidamente la demanda, </w:t>
      </w:r>
      <w:r w:rsidR="00D560C2" w:rsidRPr="004640F5">
        <w:rPr>
          <w:rFonts w:ascii="Arial Nova Light" w:eastAsia="Arial Nova" w:hAnsi="Arial Nova Light" w:cs="Arial"/>
          <w:sz w:val="24"/>
          <w:szCs w:val="24"/>
        </w:rPr>
        <w:t xml:space="preserve">y, además, en cuanto sea posible por los elementos que obran en autos, suplir la deficiencia de la queja, </w:t>
      </w:r>
      <w:r w:rsidR="00FF3A06" w:rsidRPr="004640F5">
        <w:rPr>
          <w:rFonts w:ascii="Arial Nova Light" w:eastAsia="Arial Nova" w:hAnsi="Arial Nova Light" w:cs="Arial"/>
          <w:sz w:val="24"/>
          <w:szCs w:val="24"/>
        </w:rPr>
        <w:t xml:space="preserve">precisando el acto que se impugna, </w:t>
      </w:r>
      <w:r w:rsidR="00472EBE" w:rsidRPr="004640F5">
        <w:rPr>
          <w:rFonts w:ascii="Arial Nova Light" w:eastAsia="Arial Nova" w:hAnsi="Arial Nova Light" w:cs="Arial"/>
          <w:sz w:val="24"/>
          <w:szCs w:val="24"/>
        </w:rPr>
        <w:t xml:space="preserve">así como los agravios planteaos, </w:t>
      </w:r>
      <w:r w:rsidR="00FF3A06" w:rsidRPr="004640F5">
        <w:rPr>
          <w:rFonts w:ascii="Arial Nova Light" w:eastAsia="Arial Nova" w:hAnsi="Arial Nova Light" w:cs="Arial"/>
          <w:sz w:val="24"/>
          <w:szCs w:val="24"/>
        </w:rPr>
        <w:t xml:space="preserve">a fin de </w:t>
      </w:r>
      <w:r w:rsidRPr="004640F5">
        <w:rPr>
          <w:rFonts w:ascii="Arial Nova Light" w:eastAsia="Arial Nova" w:hAnsi="Arial Nova Light" w:cs="Arial"/>
          <w:sz w:val="24"/>
          <w:szCs w:val="24"/>
        </w:rPr>
        <w:t>determinar con exactitud la intención del promovente</w:t>
      </w:r>
      <w:r w:rsidRPr="004640F5">
        <w:rPr>
          <w:rFonts w:ascii="Arial Nova Light" w:hAnsi="Arial Nova Light" w:cs="Arial"/>
          <w:sz w:val="24"/>
          <w:szCs w:val="24"/>
          <w:vertAlign w:val="superscript"/>
        </w:rPr>
        <w:footnoteReference w:id="2"/>
      </w:r>
      <w:r w:rsidRPr="004640F5">
        <w:rPr>
          <w:rFonts w:ascii="Arial Nova Light" w:eastAsia="Arial Nova" w:hAnsi="Arial Nova Light" w:cs="Arial"/>
          <w:sz w:val="24"/>
          <w:szCs w:val="24"/>
        </w:rPr>
        <w:t xml:space="preserve">. </w:t>
      </w:r>
    </w:p>
    <w:p w14:paraId="3C164A02" w14:textId="75B3E544" w:rsidR="006B74A2" w:rsidRPr="004640F5" w:rsidRDefault="000D5FCC" w:rsidP="006B74A2">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Light" w:eastAsia="Arial Nova" w:hAnsi="Arial Nova Light" w:cs="Arial"/>
          <w:bCs/>
        </w:rPr>
      </w:pPr>
      <w:r w:rsidRPr="004640F5">
        <w:rPr>
          <w:rFonts w:ascii="Arial Nova Light" w:eastAsia="Arial Nova" w:hAnsi="Arial Nova Light" w:cs="Arial"/>
          <w:bCs/>
        </w:rPr>
        <w:t>En principio, resulta oportuno precisar que el asunto que se resuelve, guarda similitud al grado de ser idéntico a</w:t>
      </w:r>
      <w:r w:rsidR="00EC4A09" w:rsidRPr="004640F5">
        <w:rPr>
          <w:rFonts w:ascii="Arial Nova Light" w:eastAsia="Arial Nova" w:hAnsi="Arial Nova Light" w:cs="Arial"/>
          <w:bCs/>
        </w:rPr>
        <w:t xml:space="preserve"> </w:t>
      </w:r>
      <w:r w:rsidRPr="004640F5">
        <w:rPr>
          <w:rFonts w:ascii="Arial Nova Light" w:eastAsia="Arial Nova" w:hAnsi="Arial Nova Light" w:cs="Arial"/>
          <w:bCs/>
        </w:rPr>
        <w:t>l</w:t>
      </w:r>
      <w:r w:rsidR="00EC4A09" w:rsidRPr="004640F5">
        <w:rPr>
          <w:rFonts w:ascii="Arial Nova Light" w:eastAsia="Arial Nova" w:hAnsi="Arial Nova Light" w:cs="Arial"/>
          <w:bCs/>
        </w:rPr>
        <w:t>os</w:t>
      </w:r>
      <w:r w:rsidRPr="004640F5">
        <w:rPr>
          <w:rFonts w:ascii="Arial Nova Light" w:eastAsia="Arial Nova" w:hAnsi="Arial Nova Light" w:cs="Arial"/>
          <w:bCs/>
        </w:rPr>
        <w:t xml:space="preserve"> diverso</w:t>
      </w:r>
      <w:r w:rsidR="00EC4A09" w:rsidRPr="004640F5">
        <w:rPr>
          <w:rFonts w:ascii="Arial Nova Light" w:eastAsia="Arial Nova" w:hAnsi="Arial Nova Light" w:cs="Arial"/>
          <w:bCs/>
        </w:rPr>
        <w:t>s</w:t>
      </w:r>
      <w:r w:rsidRPr="004640F5">
        <w:rPr>
          <w:rFonts w:ascii="Arial Nova Light" w:eastAsia="Arial Nova" w:hAnsi="Arial Nova Light" w:cs="Arial"/>
          <w:bCs/>
        </w:rPr>
        <w:t xml:space="preserve"> resuelto</w:t>
      </w:r>
      <w:r w:rsidR="00EC4A09" w:rsidRPr="004640F5">
        <w:rPr>
          <w:rFonts w:ascii="Arial Nova Light" w:eastAsia="Arial Nova" w:hAnsi="Arial Nova Light" w:cs="Arial"/>
          <w:bCs/>
        </w:rPr>
        <w:t>s</w:t>
      </w:r>
      <w:r w:rsidRPr="004640F5">
        <w:rPr>
          <w:rFonts w:ascii="Arial Nova Light" w:eastAsia="Arial Nova" w:hAnsi="Arial Nova Light" w:cs="Arial"/>
          <w:bCs/>
        </w:rPr>
        <w:t xml:space="preserve"> en </w:t>
      </w:r>
      <w:r w:rsidR="00EC4A09" w:rsidRPr="004640F5">
        <w:rPr>
          <w:rFonts w:ascii="Arial Nova Light" w:eastAsia="Arial Nova" w:hAnsi="Arial Nova Light" w:cs="Arial"/>
          <w:bCs/>
        </w:rPr>
        <w:t>los</w:t>
      </w:r>
      <w:r w:rsidRPr="004640F5">
        <w:rPr>
          <w:rFonts w:ascii="Arial Nova Light" w:eastAsia="Arial Nova" w:hAnsi="Arial Nova Light" w:cs="Arial"/>
          <w:bCs/>
        </w:rPr>
        <w:t xml:space="preserve"> expediente</w:t>
      </w:r>
      <w:r w:rsidR="00EC4A09" w:rsidRPr="004640F5">
        <w:rPr>
          <w:rFonts w:ascii="Arial Nova Light" w:eastAsia="Arial Nova" w:hAnsi="Arial Nova Light" w:cs="Arial"/>
          <w:bCs/>
        </w:rPr>
        <w:t>s</w:t>
      </w:r>
      <w:r w:rsidRPr="004640F5">
        <w:rPr>
          <w:rFonts w:ascii="Arial Nova Light" w:eastAsia="Arial Nova" w:hAnsi="Arial Nova Light" w:cs="Arial"/>
          <w:bCs/>
        </w:rPr>
        <w:t xml:space="preserve"> TEEA-JDC-</w:t>
      </w:r>
      <w:r w:rsidR="00E25805" w:rsidRPr="004640F5">
        <w:rPr>
          <w:rFonts w:ascii="Arial Nova Light" w:eastAsia="Arial Nova" w:hAnsi="Arial Nova Light" w:cs="Arial"/>
          <w:bCs/>
        </w:rPr>
        <w:t>019/2021</w:t>
      </w:r>
      <w:r w:rsidR="00EC4A09" w:rsidRPr="004640F5">
        <w:rPr>
          <w:rFonts w:ascii="Arial Nova Light" w:eastAsia="Arial Nova" w:hAnsi="Arial Nova Light" w:cs="Arial"/>
          <w:bCs/>
        </w:rPr>
        <w:t xml:space="preserve"> y TEEA-JDC-023/2021</w:t>
      </w:r>
      <w:r w:rsidR="00E25805" w:rsidRPr="004640F5">
        <w:rPr>
          <w:rFonts w:ascii="Arial Nova Light" w:eastAsia="Arial Nova" w:hAnsi="Arial Nova Light" w:cs="Arial"/>
          <w:bCs/>
        </w:rPr>
        <w:t>, resoluci</w:t>
      </w:r>
      <w:r w:rsidR="00EC4A09" w:rsidRPr="004640F5">
        <w:rPr>
          <w:rFonts w:ascii="Arial Nova Light" w:eastAsia="Arial Nova" w:hAnsi="Arial Nova Light" w:cs="Arial"/>
          <w:bCs/>
        </w:rPr>
        <w:t>ones</w:t>
      </w:r>
      <w:r w:rsidR="00E25805" w:rsidRPr="004640F5">
        <w:rPr>
          <w:rFonts w:ascii="Arial Nova Light" w:eastAsia="Arial Nova" w:hAnsi="Arial Nova Light" w:cs="Arial"/>
          <w:bCs/>
        </w:rPr>
        <w:t xml:space="preserve"> emitida</w:t>
      </w:r>
      <w:r w:rsidR="00EC4A09" w:rsidRPr="004640F5">
        <w:rPr>
          <w:rFonts w:ascii="Arial Nova Light" w:eastAsia="Arial Nova" w:hAnsi="Arial Nova Light" w:cs="Arial"/>
          <w:bCs/>
        </w:rPr>
        <w:t>s</w:t>
      </w:r>
      <w:r w:rsidR="00E25805" w:rsidRPr="004640F5">
        <w:rPr>
          <w:rFonts w:ascii="Arial Nova Light" w:eastAsia="Arial Nova" w:hAnsi="Arial Nova Light" w:cs="Arial"/>
          <w:bCs/>
        </w:rPr>
        <w:t xml:space="preserve"> en </w:t>
      </w:r>
      <w:r w:rsidR="00EC4A09" w:rsidRPr="004640F5">
        <w:rPr>
          <w:rFonts w:ascii="Arial Nova Light" w:eastAsia="Arial Nova" w:hAnsi="Arial Nova Light" w:cs="Arial"/>
          <w:bCs/>
        </w:rPr>
        <w:t xml:space="preserve">los días </w:t>
      </w:r>
      <w:r w:rsidR="00E25805" w:rsidRPr="004640F5">
        <w:rPr>
          <w:rFonts w:ascii="Arial Nova Light" w:eastAsia="Arial Nova" w:hAnsi="Arial Nova Light" w:cs="Arial"/>
          <w:bCs/>
        </w:rPr>
        <w:t>ocho</w:t>
      </w:r>
      <w:r w:rsidR="00EC4A09" w:rsidRPr="004640F5">
        <w:rPr>
          <w:rFonts w:ascii="Arial Nova Light" w:eastAsia="Arial Nova" w:hAnsi="Arial Nova Light" w:cs="Arial"/>
          <w:bCs/>
        </w:rPr>
        <w:t xml:space="preserve"> y treinta</w:t>
      </w:r>
      <w:r w:rsidR="00E25805" w:rsidRPr="004640F5">
        <w:rPr>
          <w:rFonts w:ascii="Arial Nova Light" w:eastAsia="Arial Nova" w:hAnsi="Arial Nova Light" w:cs="Arial"/>
          <w:bCs/>
        </w:rPr>
        <w:t xml:space="preserve"> de marzo </w:t>
      </w:r>
      <w:r w:rsidR="00EC4A09" w:rsidRPr="004640F5">
        <w:rPr>
          <w:rFonts w:ascii="Arial Nova Light" w:eastAsia="Arial Nova" w:hAnsi="Arial Nova Light" w:cs="Arial"/>
          <w:bCs/>
        </w:rPr>
        <w:t>respectivamente</w:t>
      </w:r>
      <w:r w:rsidR="00E25805" w:rsidRPr="004640F5">
        <w:rPr>
          <w:rFonts w:ascii="Arial Nova Light" w:eastAsia="Arial Nova" w:hAnsi="Arial Nova Light" w:cs="Arial"/>
          <w:bCs/>
        </w:rPr>
        <w:t xml:space="preserve">. </w:t>
      </w:r>
    </w:p>
    <w:p w14:paraId="30D2A6D0" w14:textId="77777777" w:rsidR="006B74A2" w:rsidRPr="004640F5" w:rsidRDefault="006B74A2" w:rsidP="006B74A2">
      <w:pPr>
        <w:pStyle w:val="NormalWeb"/>
        <w:pBdr>
          <w:top w:val="nil"/>
          <w:left w:val="nil"/>
          <w:bottom w:val="nil"/>
          <w:right w:val="nil"/>
          <w:between w:val="nil"/>
        </w:pBdr>
        <w:tabs>
          <w:tab w:val="left" w:pos="0"/>
          <w:tab w:val="right" w:pos="8838"/>
        </w:tabs>
        <w:spacing w:after="0" w:line="360" w:lineRule="auto"/>
        <w:contextualSpacing/>
        <w:jc w:val="both"/>
        <w:rPr>
          <w:rFonts w:ascii="Arial Nova Light" w:hAnsi="Arial Nova Light" w:cs="Arial"/>
          <w:color w:val="000000" w:themeColor="text1"/>
          <w:shd w:val="clear" w:color="auto" w:fill="FFFFFF"/>
        </w:rPr>
      </w:pPr>
    </w:p>
    <w:p w14:paraId="1C5635E2" w14:textId="4E2F55FE" w:rsidR="006B74A2" w:rsidRPr="004640F5" w:rsidRDefault="006B74A2" w:rsidP="006B74A2">
      <w:pPr>
        <w:pStyle w:val="NormalWeb"/>
        <w:pBdr>
          <w:top w:val="nil"/>
          <w:left w:val="nil"/>
          <w:bottom w:val="nil"/>
          <w:right w:val="nil"/>
          <w:between w:val="nil"/>
        </w:pBdr>
        <w:tabs>
          <w:tab w:val="left" w:pos="0"/>
          <w:tab w:val="right" w:pos="8838"/>
        </w:tabs>
        <w:spacing w:after="0" w:line="360" w:lineRule="auto"/>
        <w:contextualSpacing/>
        <w:jc w:val="both"/>
        <w:rPr>
          <w:rFonts w:ascii="Arial Nova Light" w:hAnsi="Arial Nova Light" w:cs="Arial"/>
          <w:color w:val="000000" w:themeColor="text1"/>
          <w:shd w:val="clear" w:color="auto" w:fill="FFFFFF"/>
        </w:rPr>
      </w:pPr>
      <w:r w:rsidRPr="004640F5">
        <w:rPr>
          <w:rFonts w:ascii="Arial Nova Light" w:hAnsi="Arial Nova Light" w:cs="Arial"/>
          <w:color w:val="000000" w:themeColor="text1"/>
          <w:shd w:val="clear" w:color="auto" w:fill="FFFFFF"/>
        </w:rPr>
        <w:lastRenderedPageBreak/>
        <w:t xml:space="preserve">En su momento, este Tribunal determinó </w:t>
      </w:r>
      <w:r w:rsidR="009E4221" w:rsidRPr="004640F5">
        <w:rPr>
          <w:rFonts w:ascii="Arial Nova Light" w:hAnsi="Arial Nova Light" w:cs="Arial"/>
          <w:color w:val="000000" w:themeColor="text1"/>
          <w:shd w:val="clear" w:color="auto" w:fill="FFFFFF"/>
        </w:rPr>
        <w:t xml:space="preserve">desechar las demandas toda vez </w:t>
      </w:r>
      <w:r w:rsidRPr="004640F5">
        <w:rPr>
          <w:rFonts w:ascii="Arial Nova Light" w:hAnsi="Arial Nova Light" w:cs="Arial"/>
          <w:color w:val="000000" w:themeColor="text1"/>
          <w:shd w:val="clear" w:color="auto" w:fill="FFFFFF"/>
        </w:rPr>
        <w:t xml:space="preserve">que </w:t>
      </w:r>
      <w:r w:rsidR="00633716" w:rsidRPr="004640F5">
        <w:rPr>
          <w:rFonts w:ascii="Arial Nova Light" w:hAnsi="Arial Nova Light" w:cs="Arial"/>
          <w:color w:val="000000" w:themeColor="text1"/>
          <w:shd w:val="clear" w:color="auto" w:fill="FFFFFF"/>
        </w:rPr>
        <w:t xml:space="preserve">los actores carecen de interés jurídico y legal </w:t>
      </w:r>
      <w:r w:rsidR="009E4221" w:rsidRPr="004640F5">
        <w:rPr>
          <w:rFonts w:ascii="Arial Nova Light" w:hAnsi="Arial Nova Light" w:cs="Arial"/>
          <w:lang w:bidi="en-US"/>
        </w:rPr>
        <w:t>para controvertir la constitucionalidad del artículo 156 A del Código Electoral referido por la autoridad responsable en la respuesta a la consulta hecha por el promovente</w:t>
      </w:r>
      <w:r w:rsidRPr="004640F5">
        <w:rPr>
          <w:rFonts w:ascii="Arial Nova Light" w:hAnsi="Arial Nova Light" w:cs="Arial"/>
          <w:color w:val="000000" w:themeColor="text1"/>
          <w:shd w:val="clear" w:color="auto" w:fill="FFFFFF"/>
        </w:rPr>
        <w:t>.</w:t>
      </w:r>
    </w:p>
    <w:p w14:paraId="325DDB0C" w14:textId="77777777" w:rsidR="006B74A2" w:rsidRPr="004640F5" w:rsidRDefault="006B74A2" w:rsidP="006B74A2">
      <w:pPr>
        <w:pStyle w:val="NormalWeb"/>
        <w:pBdr>
          <w:top w:val="nil"/>
          <w:left w:val="nil"/>
          <w:bottom w:val="nil"/>
          <w:right w:val="nil"/>
          <w:between w:val="nil"/>
        </w:pBdr>
        <w:tabs>
          <w:tab w:val="left" w:pos="0"/>
          <w:tab w:val="right" w:pos="8838"/>
        </w:tabs>
        <w:spacing w:after="0" w:line="360" w:lineRule="auto"/>
        <w:contextualSpacing/>
        <w:jc w:val="both"/>
        <w:rPr>
          <w:rFonts w:ascii="Arial Nova Light" w:hAnsi="Arial Nova Light" w:cs="Arial"/>
          <w:color w:val="000000" w:themeColor="text1"/>
          <w:shd w:val="clear" w:color="auto" w:fill="FFFFFF"/>
        </w:rPr>
      </w:pPr>
    </w:p>
    <w:p w14:paraId="55A91AD3" w14:textId="26E5DB55" w:rsidR="006B74A2" w:rsidRPr="004640F5" w:rsidRDefault="006B74A2" w:rsidP="006B74A2">
      <w:pPr>
        <w:pStyle w:val="NormalWeb"/>
        <w:pBdr>
          <w:top w:val="nil"/>
          <w:left w:val="nil"/>
          <w:bottom w:val="nil"/>
          <w:right w:val="nil"/>
          <w:between w:val="nil"/>
        </w:pBdr>
        <w:tabs>
          <w:tab w:val="left" w:pos="0"/>
          <w:tab w:val="right" w:pos="8838"/>
        </w:tabs>
        <w:spacing w:after="0" w:line="360" w:lineRule="auto"/>
        <w:contextualSpacing/>
        <w:jc w:val="both"/>
        <w:rPr>
          <w:rFonts w:ascii="Arial Nova Light" w:hAnsi="Arial Nova Light" w:cs="Arial"/>
          <w:color w:val="000000"/>
          <w:sz w:val="23"/>
          <w:szCs w:val="23"/>
          <w:shd w:val="clear" w:color="auto" w:fill="FFFFFF"/>
        </w:rPr>
      </w:pPr>
      <w:r w:rsidRPr="004640F5">
        <w:rPr>
          <w:rFonts w:ascii="Arial Nova Light" w:hAnsi="Arial Nova Light" w:cs="Arial"/>
          <w:color w:val="000000" w:themeColor="text1"/>
          <w:shd w:val="clear" w:color="auto" w:fill="FFFFFF"/>
        </w:rPr>
        <w:t xml:space="preserve">En ese sentido, en un contexto actualizado, se advierte que la situación jurídica </w:t>
      </w:r>
      <w:r w:rsidR="009E4221" w:rsidRPr="004640F5">
        <w:rPr>
          <w:rFonts w:ascii="Arial Nova Light" w:hAnsi="Arial Nova Light" w:cs="Arial"/>
          <w:color w:val="000000" w:themeColor="text1"/>
          <w:shd w:val="clear" w:color="auto" w:fill="FFFFFF"/>
        </w:rPr>
        <w:t xml:space="preserve">de quien promueve es igual a los promoventes de los asuntos referidos, </w:t>
      </w:r>
      <w:r w:rsidR="006E15BF" w:rsidRPr="004640F5">
        <w:rPr>
          <w:rFonts w:ascii="Arial Nova Light" w:hAnsi="Arial Nova Light" w:cs="Arial"/>
          <w:color w:val="000000" w:themeColor="text1"/>
          <w:shd w:val="clear" w:color="auto" w:fill="FFFFFF"/>
        </w:rPr>
        <w:t>en ese sentido</w:t>
      </w:r>
      <w:r w:rsidRPr="004640F5">
        <w:rPr>
          <w:rFonts w:ascii="Arial Nova Light" w:hAnsi="Arial Nova Light" w:cs="Arial"/>
          <w:color w:val="000000" w:themeColor="text1"/>
          <w:shd w:val="clear" w:color="auto" w:fill="FFFFFF"/>
        </w:rPr>
        <w:t xml:space="preserve"> acorde con la jurisprudencia </w:t>
      </w:r>
      <w:r w:rsidRPr="004640F5">
        <w:rPr>
          <w:rFonts w:ascii="Arial Nova Light" w:hAnsi="Arial Nova Light" w:cs="Arial"/>
          <w:b/>
          <w:bCs/>
          <w:i/>
          <w:iCs/>
          <w:color w:val="000000" w:themeColor="text1"/>
          <w:shd w:val="clear" w:color="auto" w:fill="FFFFFF"/>
        </w:rPr>
        <w:t>12/2003</w:t>
      </w:r>
      <w:r w:rsidRPr="004640F5">
        <w:rPr>
          <w:rFonts w:ascii="Arial Nova Light" w:hAnsi="Arial Nova Light" w:cs="Arial"/>
          <w:color w:val="000000" w:themeColor="text1"/>
          <w:shd w:val="clear" w:color="auto" w:fill="FFFFFF"/>
        </w:rPr>
        <w:t xml:space="preserve"> de rubro </w:t>
      </w:r>
      <w:r w:rsidRPr="004640F5">
        <w:rPr>
          <w:rFonts w:ascii="Arial Nova Light" w:hAnsi="Arial Nova Light" w:cs="Arial"/>
          <w:b/>
          <w:bCs/>
          <w:i/>
          <w:iCs/>
          <w:color w:val="000000"/>
          <w:sz w:val="23"/>
          <w:szCs w:val="23"/>
          <w:shd w:val="clear" w:color="auto" w:fill="FFFFFF"/>
        </w:rPr>
        <w:t>COSA JUZGADA. ELEMENTOS PARA SU EFICACIA REFLEJA</w:t>
      </w:r>
      <w:r w:rsidRPr="004640F5">
        <w:rPr>
          <w:rFonts w:ascii="Arial Nova Light" w:hAnsi="Arial Nova Light" w:cs="Arial"/>
          <w:color w:val="000000"/>
          <w:sz w:val="23"/>
          <w:szCs w:val="23"/>
          <w:shd w:val="clear" w:color="auto" w:fill="FFFFFF"/>
        </w:rPr>
        <w:t xml:space="preserve">, la cosa juzgada encuentra su fundamento y razón en la necesidad de preservar y mantener la paz y la tranquilidad en la sociedad, con medidas que conserven la estabilidad y la seguridad de los gobernados en el goce de sus libertades y derechos, y tiene por objeto primordial proporcionar certeza respecto a las relaciones en que se han suscitado litigios, mediante la inmutabilidad de lo resuelto en una sentencia ejecutoriada. </w:t>
      </w:r>
    </w:p>
    <w:p w14:paraId="5376E4B9" w14:textId="77777777" w:rsidR="006B74A2" w:rsidRPr="004640F5" w:rsidRDefault="006B74A2" w:rsidP="006B74A2">
      <w:pPr>
        <w:pStyle w:val="NormalWeb"/>
        <w:pBdr>
          <w:top w:val="nil"/>
          <w:left w:val="nil"/>
          <w:bottom w:val="nil"/>
          <w:right w:val="nil"/>
          <w:between w:val="nil"/>
        </w:pBdr>
        <w:tabs>
          <w:tab w:val="left" w:pos="0"/>
          <w:tab w:val="right" w:pos="8838"/>
        </w:tabs>
        <w:spacing w:after="0" w:line="360" w:lineRule="auto"/>
        <w:contextualSpacing/>
        <w:jc w:val="both"/>
        <w:rPr>
          <w:rFonts w:ascii="Arial Nova Light" w:hAnsi="Arial Nova Light" w:cs="Arial"/>
          <w:color w:val="000000"/>
          <w:sz w:val="23"/>
          <w:szCs w:val="23"/>
          <w:shd w:val="clear" w:color="auto" w:fill="FFFFFF"/>
        </w:rPr>
      </w:pPr>
    </w:p>
    <w:p w14:paraId="13315F68" w14:textId="77777777" w:rsidR="006B74A2" w:rsidRPr="004640F5" w:rsidRDefault="006B74A2" w:rsidP="006B74A2">
      <w:pPr>
        <w:pStyle w:val="NormalWeb"/>
        <w:pBdr>
          <w:top w:val="nil"/>
          <w:left w:val="nil"/>
          <w:bottom w:val="nil"/>
          <w:right w:val="nil"/>
          <w:between w:val="nil"/>
        </w:pBdr>
        <w:tabs>
          <w:tab w:val="left" w:pos="0"/>
          <w:tab w:val="right" w:pos="8838"/>
        </w:tabs>
        <w:spacing w:after="0" w:line="360" w:lineRule="auto"/>
        <w:contextualSpacing/>
        <w:jc w:val="both"/>
        <w:rPr>
          <w:rFonts w:ascii="Arial Nova Light" w:hAnsi="Arial Nova Light" w:cs="Arial"/>
          <w:color w:val="000000"/>
          <w:sz w:val="23"/>
          <w:szCs w:val="23"/>
          <w:shd w:val="clear" w:color="auto" w:fill="FFFFFF"/>
        </w:rPr>
      </w:pPr>
      <w:r w:rsidRPr="004640F5">
        <w:rPr>
          <w:rFonts w:ascii="Arial Nova Light" w:hAnsi="Arial Nova Light" w:cs="Arial"/>
          <w:color w:val="000000"/>
          <w:sz w:val="23"/>
          <w:szCs w:val="23"/>
          <w:shd w:val="clear" w:color="auto" w:fill="FFFFFF"/>
        </w:rPr>
        <w:t xml:space="preserve">Así, </w:t>
      </w:r>
      <w:r w:rsidRPr="004640F5">
        <w:rPr>
          <w:rFonts w:ascii="Arial Nova Light" w:hAnsi="Arial Nova Light" w:cs="Arial"/>
          <w:i/>
          <w:iCs/>
          <w:color w:val="000000"/>
          <w:sz w:val="23"/>
          <w:szCs w:val="23"/>
          <w:shd w:val="clear" w:color="auto" w:fill="FFFFFF"/>
        </w:rPr>
        <w:t xml:space="preserve">“la cosa juzgada puede surtir efectos en otros procesos, de dos maneras distintas: La primera, que es la más conocida, se denomina </w:t>
      </w:r>
      <w:r w:rsidRPr="004640F5">
        <w:rPr>
          <w:rFonts w:ascii="Arial Nova Light" w:hAnsi="Arial Nova Light" w:cs="Arial"/>
          <w:b/>
          <w:bCs/>
          <w:i/>
          <w:iCs/>
          <w:color w:val="000000"/>
          <w:sz w:val="23"/>
          <w:szCs w:val="23"/>
          <w:shd w:val="clear" w:color="auto" w:fill="FFFFFF"/>
        </w:rPr>
        <w:t>eficacia directa</w:t>
      </w:r>
      <w:r w:rsidRPr="004640F5">
        <w:rPr>
          <w:rFonts w:ascii="Arial Nova Light" w:hAnsi="Arial Nova Light" w:cs="Arial"/>
          <w:i/>
          <w:iCs/>
          <w:color w:val="000000"/>
          <w:sz w:val="23"/>
          <w:szCs w:val="23"/>
          <w:shd w:val="clear" w:color="auto" w:fill="FFFFFF"/>
        </w:rPr>
        <w:t xml:space="preserve">, y opera cuando los citados elementos: sujetos, objeto y causa, resultan idénticos en las dos controversias de que se trate. La segunda es la </w:t>
      </w:r>
      <w:r w:rsidRPr="004640F5">
        <w:rPr>
          <w:rFonts w:ascii="Arial Nova Light" w:hAnsi="Arial Nova Light" w:cs="Arial"/>
          <w:b/>
          <w:bCs/>
          <w:i/>
          <w:iCs/>
          <w:color w:val="000000"/>
          <w:sz w:val="23"/>
          <w:szCs w:val="23"/>
          <w:shd w:val="clear" w:color="auto" w:fill="FFFFFF"/>
        </w:rPr>
        <w:t>eficacia refleja</w:t>
      </w:r>
      <w:r w:rsidRPr="004640F5">
        <w:rPr>
          <w:rFonts w:ascii="Arial Nova Light" w:hAnsi="Arial Nova Light" w:cs="Arial"/>
          <w:i/>
          <w:iCs/>
          <w:color w:val="000000"/>
          <w:sz w:val="23"/>
          <w:szCs w:val="23"/>
          <w:shd w:val="clear" w:color="auto" w:fill="FFFFFF"/>
        </w:rPr>
        <w:t xml:space="preserve">, </w:t>
      </w:r>
      <w:r w:rsidRPr="004640F5">
        <w:rPr>
          <w:rFonts w:ascii="Arial Nova Light" w:hAnsi="Arial Nova Light" w:cs="Arial"/>
          <w:i/>
          <w:iCs/>
          <w:color w:val="000000"/>
          <w:sz w:val="23"/>
          <w:szCs w:val="23"/>
          <w:u w:val="single"/>
          <w:shd w:val="clear" w:color="auto" w:fill="FFFFFF"/>
        </w:rPr>
        <w:t>con la cual se robustece la seguridad jurídica al proporcionar mayor fuerza y credibilidad a las resoluciones judiciales, evitando que criterios diferentes o hasta contradictorios sobre un mismo hecho o cuestión, puedan servir de sustento para emitir sentencias distintas en asuntos estrechamente unidos en lo sustancial o dependientes de la misma causa; esto es, la tendencia es hacia la inexistencia de fallos contradictorios en temas que, sin constituir el objeto de la contienda, son determinantes para resolver litigios</w:t>
      </w:r>
      <w:r w:rsidRPr="004640F5">
        <w:rPr>
          <w:rFonts w:ascii="Arial Nova Light" w:hAnsi="Arial Nova Light" w:cs="Arial"/>
          <w:i/>
          <w:iCs/>
          <w:color w:val="000000"/>
          <w:sz w:val="23"/>
          <w:szCs w:val="23"/>
          <w:shd w:val="clear" w:color="auto" w:fill="FFFFFF"/>
        </w:rPr>
        <w:t>”</w:t>
      </w:r>
      <w:r w:rsidRPr="004640F5">
        <w:rPr>
          <w:rFonts w:ascii="Arial Nova Light" w:hAnsi="Arial Nova Light" w:cs="Arial"/>
          <w:color w:val="000000"/>
          <w:sz w:val="23"/>
          <w:szCs w:val="23"/>
          <w:shd w:val="clear" w:color="auto" w:fill="FFFFFF"/>
        </w:rPr>
        <w:t>.</w:t>
      </w:r>
      <w:r w:rsidRPr="004640F5">
        <w:rPr>
          <w:rStyle w:val="Refdenotaalpie"/>
          <w:rFonts w:ascii="Arial Nova Light" w:hAnsi="Arial Nova Light" w:cs="Arial"/>
          <w:color w:val="000000"/>
          <w:sz w:val="23"/>
          <w:szCs w:val="23"/>
          <w:shd w:val="clear" w:color="auto" w:fill="FFFFFF"/>
        </w:rPr>
        <w:footnoteReference w:id="3"/>
      </w:r>
      <w:r w:rsidRPr="004640F5">
        <w:rPr>
          <w:rFonts w:ascii="Arial Nova Light" w:hAnsi="Arial Nova Light" w:cs="Arial"/>
          <w:color w:val="000000"/>
          <w:sz w:val="23"/>
          <w:szCs w:val="23"/>
          <w:shd w:val="clear" w:color="auto" w:fill="FFFFFF"/>
        </w:rPr>
        <w:t xml:space="preserve"> </w:t>
      </w:r>
    </w:p>
    <w:p w14:paraId="6825D638" w14:textId="77777777" w:rsidR="006B74A2" w:rsidRPr="004640F5" w:rsidRDefault="006B74A2" w:rsidP="006B74A2">
      <w:pPr>
        <w:pStyle w:val="NormalWeb"/>
        <w:pBdr>
          <w:top w:val="nil"/>
          <w:left w:val="nil"/>
          <w:bottom w:val="nil"/>
          <w:right w:val="nil"/>
          <w:between w:val="nil"/>
        </w:pBdr>
        <w:tabs>
          <w:tab w:val="left" w:pos="0"/>
          <w:tab w:val="right" w:pos="8838"/>
        </w:tabs>
        <w:spacing w:after="0" w:line="360" w:lineRule="auto"/>
        <w:contextualSpacing/>
        <w:jc w:val="both"/>
        <w:rPr>
          <w:rFonts w:ascii="Arial Nova Light" w:hAnsi="Arial Nova Light" w:cs="Arial"/>
          <w:color w:val="000000"/>
          <w:sz w:val="23"/>
          <w:szCs w:val="23"/>
          <w:shd w:val="clear" w:color="auto" w:fill="FFFFFF"/>
        </w:rPr>
      </w:pPr>
    </w:p>
    <w:p w14:paraId="7D21AA26" w14:textId="6A8558A7" w:rsidR="006B74A2" w:rsidRPr="004640F5" w:rsidRDefault="006B74A2" w:rsidP="006E15BF">
      <w:pPr>
        <w:pStyle w:val="NormalWeb"/>
        <w:pBdr>
          <w:top w:val="nil"/>
          <w:left w:val="nil"/>
          <w:bottom w:val="nil"/>
          <w:right w:val="nil"/>
          <w:between w:val="nil"/>
        </w:pBdr>
        <w:tabs>
          <w:tab w:val="left" w:pos="0"/>
          <w:tab w:val="right" w:pos="8838"/>
        </w:tabs>
        <w:spacing w:after="0" w:line="360" w:lineRule="auto"/>
        <w:contextualSpacing/>
        <w:jc w:val="both"/>
        <w:rPr>
          <w:rFonts w:ascii="Arial Nova Light" w:hAnsi="Arial Nova Light"/>
          <w:bCs/>
        </w:rPr>
      </w:pPr>
      <w:r w:rsidRPr="004640F5">
        <w:rPr>
          <w:rFonts w:ascii="Arial Nova Light" w:hAnsi="Arial Nova Light" w:cs="Arial"/>
          <w:color w:val="000000"/>
          <w:shd w:val="clear" w:color="auto" w:fill="FFFFFF"/>
        </w:rPr>
        <w:t xml:space="preserve">Por tanto, se advierte que en el caso concreto existe identidad </w:t>
      </w:r>
      <w:r w:rsidR="006B218F" w:rsidRPr="004640F5">
        <w:rPr>
          <w:rFonts w:ascii="Arial Nova Light" w:hAnsi="Arial Nova Light" w:cs="Arial"/>
          <w:color w:val="000000"/>
          <w:shd w:val="clear" w:color="auto" w:fill="FFFFFF"/>
        </w:rPr>
        <w:t xml:space="preserve">con el acto del expediente TEEA-JDC-023/2021, no así con el del TEEA-JDC-019/2021; </w:t>
      </w:r>
      <w:r w:rsidR="006E15BF" w:rsidRPr="004640F5">
        <w:rPr>
          <w:rFonts w:ascii="Arial Nova Light" w:hAnsi="Arial Nova Light" w:cs="Arial"/>
          <w:color w:val="000000"/>
          <w:shd w:val="clear" w:color="auto" w:fill="FFFFFF"/>
        </w:rPr>
        <w:t xml:space="preserve">así como en </w:t>
      </w:r>
      <w:r w:rsidRPr="004640F5">
        <w:rPr>
          <w:rFonts w:ascii="Arial Nova Light" w:hAnsi="Arial Nova Light"/>
          <w:bCs/>
        </w:rPr>
        <w:t>la pretensión</w:t>
      </w:r>
      <w:r w:rsidR="006B218F" w:rsidRPr="004640F5">
        <w:rPr>
          <w:rFonts w:ascii="Arial Nova Light" w:hAnsi="Arial Nova Light"/>
          <w:bCs/>
        </w:rPr>
        <w:t xml:space="preserve">, pues en todos los casos se busca </w:t>
      </w:r>
      <w:r w:rsidR="00CA1A00" w:rsidRPr="004640F5">
        <w:rPr>
          <w:rFonts w:ascii="Arial Nova Light" w:hAnsi="Arial Nova Light"/>
          <w:bCs/>
        </w:rPr>
        <w:t>la inconstitucionalidad de la porción normativa contenida en el artículo 156 A, fracción V del Código Electoral.</w:t>
      </w:r>
      <w:r w:rsidRPr="004640F5">
        <w:rPr>
          <w:rFonts w:ascii="Arial Nova Light" w:hAnsi="Arial Nova Light"/>
          <w:bCs/>
        </w:rPr>
        <w:t xml:space="preserve"> </w:t>
      </w:r>
    </w:p>
    <w:p w14:paraId="0F8973DC" w14:textId="1B7DF94B" w:rsidR="006B74A2" w:rsidRPr="004640F5" w:rsidRDefault="006B74A2" w:rsidP="006B74A2">
      <w:pPr>
        <w:spacing w:after="160" w:line="360" w:lineRule="auto"/>
        <w:jc w:val="both"/>
        <w:rPr>
          <w:rFonts w:ascii="Arial Nova Light" w:hAnsi="Arial Nova Light"/>
          <w:bCs/>
          <w:sz w:val="24"/>
          <w:szCs w:val="24"/>
        </w:rPr>
      </w:pPr>
      <w:r w:rsidRPr="004640F5">
        <w:rPr>
          <w:rFonts w:ascii="Arial Nova Light" w:hAnsi="Arial Nova Light"/>
          <w:bCs/>
          <w:sz w:val="24"/>
          <w:szCs w:val="24"/>
        </w:rPr>
        <w:t xml:space="preserve">Sin embargo, el </w:t>
      </w:r>
      <w:r w:rsidR="00CA1A00" w:rsidRPr="004640F5">
        <w:rPr>
          <w:rFonts w:ascii="Arial Nova Light" w:hAnsi="Arial Nova Light"/>
          <w:bCs/>
          <w:sz w:val="24"/>
          <w:szCs w:val="24"/>
        </w:rPr>
        <w:t xml:space="preserve">promovente </w:t>
      </w:r>
      <w:r w:rsidR="00C72297" w:rsidRPr="004640F5">
        <w:rPr>
          <w:rFonts w:ascii="Arial Nova Light" w:hAnsi="Arial Nova Light"/>
          <w:bCs/>
          <w:sz w:val="24"/>
          <w:szCs w:val="24"/>
        </w:rPr>
        <w:t xml:space="preserve">que se somete a la jurisdicción de este Tribunal, es un actor diverso a los promoventes de aquellos juicios. </w:t>
      </w:r>
    </w:p>
    <w:p w14:paraId="79E13D34" w14:textId="43ACB60E" w:rsidR="00B37771" w:rsidRPr="004640F5" w:rsidRDefault="006B74A2" w:rsidP="00797A1C">
      <w:pPr>
        <w:spacing w:after="160" w:line="360" w:lineRule="auto"/>
        <w:jc w:val="both"/>
        <w:rPr>
          <w:rFonts w:ascii="Arial Nova Light" w:eastAsia="Arial Nova" w:hAnsi="Arial Nova Light" w:cs="Arial"/>
          <w:bCs/>
          <w:sz w:val="24"/>
          <w:szCs w:val="24"/>
        </w:rPr>
      </w:pPr>
      <w:r w:rsidRPr="004640F5">
        <w:rPr>
          <w:rFonts w:ascii="Arial Nova Light" w:hAnsi="Arial Nova Light"/>
          <w:bCs/>
          <w:sz w:val="24"/>
          <w:szCs w:val="24"/>
        </w:rPr>
        <w:t xml:space="preserve">Por lo tanto, el análisis de las pretensiones se hará a la luz de las disposiciones constitucionales, normativas y </w:t>
      </w:r>
      <w:r w:rsidRPr="004640F5">
        <w:rPr>
          <w:rFonts w:ascii="Arial Nova Light" w:hAnsi="Arial Nova Light"/>
          <w:bCs/>
          <w:i/>
          <w:iCs/>
          <w:sz w:val="24"/>
          <w:szCs w:val="24"/>
        </w:rPr>
        <w:t>de resultar aplicable</w:t>
      </w:r>
      <w:r w:rsidRPr="004640F5">
        <w:rPr>
          <w:rFonts w:ascii="Arial Nova Light" w:hAnsi="Arial Nova Light"/>
          <w:bCs/>
          <w:sz w:val="24"/>
          <w:szCs w:val="24"/>
        </w:rPr>
        <w:t xml:space="preserve">, las consideraciones vertidas en </w:t>
      </w:r>
      <w:r w:rsidR="00797A1C" w:rsidRPr="004640F5">
        <w:rPr>
          <w:rFonts w:ascii="Arial Nova Light" w:hAnsi="Arial Nova Light"/>
          <w:bCs/>
          <w:sz w:val="24"/>
          <w:szCs w:val="24"/>
        </w:rPr>
        <w:t xml:space="preserve">las diversas sentencias </w:t>
      </w:r>
      <w:r w:rsidR="00E97176" w:rsidRPr="004640F5">
        <w:rPr>
          <w:rFonts w:ascii="Arial Nova Light" w:hAnsi="Arial Nova Light"/>
          <w:bCs/>
          <w:sz w:val="24"/>
          <w:szCs w:val="24"/>
        </w:rPr>
        <w:t>ya referidas dictadas</w:t>
      </w:r>
      <w:r w:rsidR="00C72297" w:rsidRPr="004640F5">
        <w:rPr>
          <w:rFonts w:ascii="Arial Nova Light" w:hAnsi="Arial Nova Light"/>
          <w:bCs/>
          <w:sz w:val="24"/>
          <w:szCs w:val="24"/>
        </w:rPr>
        <w:t xml:space="preserve"> por este Tribunal, </w:t>
      </w:r>
      <w:r w:rsidR="00797A1C" w:rsidRPr="004640F5">
        <w:rPr>
          <w:rFonts w:ascii="Arial Nova Light" w:hAnsi="Arial Nova Light"/>
          <w:bCs/>
          <w:sz w:val="24"/>
          <w:szCs w:val="24"/>
        </w:rPr>
        <w:t xml:space="preserve">así como </w:t>
      </w:r>
      <w:r w:rsidR="00B37771" w:rsidRPr="004640F5">
        <w:rPr>
          <w:rFonts w:ascii="Arial Nova Light" w:eastAsia="Arial Nova" w:hAnsi="Arial Nova Light" w:cs="Arial"/>
          <w:bCs/>
          <w:sz w:val="24"/>
          <w:szCs w:val="24"/>
        </w:rPr>
        <w:t xml:space="preserve">la sentencia </w:t>
      </w:r>
      <w:r w:rsidR="00797A1C" w:rsidRPr="004640F5">
        <w:rPr>
          <w:rFonts w:ascii="Arial Nova Light" w:eastAsia="Arial Nova" w:hAnsi="Arial Nova Light" w:cs="Arial"/>
          <w:bCs/>
          <w:sz w:val="24"/>
          <w:szCs w:val="24"/>
        </w:rPr>
        <w:t>de</w:t>
      </w:r>
      <w:r w:rsidR="00B37771" w:rsidRPr="004640F5">
        <w:rPr>
          <w:rFonts w:ascii="Arial Nova Light" w:eastAsia="Arial Nova" w:hAnsi="Arial Nova Light" w:cs="Arial"/>
          <w:bCs/>
          <w:sz w:val="24"/>
          <w:szCs w:val="24"/>
        </w:rPr>
        <w:t xml:space="preserve"> la Sala </w:t>
      </w:r>
      <w:r w:rsidR="00B37771" w:rsidRPr="004640F5">
        <w:rPr>
          <w:rFonts w:ascii="Arial Nova Light" w:eastAsia="Arial Nova" w:hAnsi="Arial Nova Light" w:cs="Arial"/>
          <w:bCs/>
          <w:sz w:val="24"/>
          <w:szCs w:val="24"/>
        </w:rPr>
        <w:lastRenderedPageBreak/>
        <w:t>Regional Monterrey, en el expediente SM-JDC-120/2021</w:t>
      </w:r>
      <w:r w:rsidR="00797A1C" w:rsidRPr="004640F5">
        <w:rPr>
          <w:rFonts w:ascii="Arial Nova Light" w:eastAsia="Arial Nova" w:hAnsi="Arial Nova Light" w:cs="Arial"/>
          <w:bCs/>
          <w:sz w:val="24"/>
          <w:szCs w:val="24"/>
        </w:rPr>
        <w:t xml:space="preserve"> por la que se confirmó el TEEA-JDC-019/2021. </w:t>
      </w:r>
      <w:r w:rsidR="00DF0A1C" w:rsidRPr="004640F5">
        <w:rPr>
          <w:rFonts w:ascii="Arial Nova Light" w:eastAsia="Arial Nova" w:hAnsi="Arial Nova Light" w:cs="Arial"/>
          <w:bCs/>
          <w:sz w:val="24"/>
          <w:szCs w:val="24"/>
        </w:rPr>
        <w:t xml:space="preserve"> </w:t>
      </w:r>
    </w:p>
    <w:p w14:paraId="373ABED8" w14:textId="7022DD6C" w:rsidR="002603D4" w:rsidRPr="004640F5" w:rsidRDefault="006D0ED0"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4640F5">
        <w:rPr>
          <w:rFonts w:ascii="Arial Nova Light" w:eastAsia="Arial Nova" w:hAnsi="Arial Nova Light" w:cs="Arial"/>
          <w:bCs/>
          <w:sz w:val="24"/>
          <w:szCs w:val="24"/>
        </w:rPr>
        <w:t>Bajo ese contexto, e</w:t>
      </w:r>
      <w:r w:rsidR="002603D4" w:rsidRPr="004640F5">
        <w:rPr>
          <w:rFonts w:ascii="Arial Nova Light" w:eastAsia="Arial Nova" w:hAnsi="Arial Nova Light" w:cs="Arial"/>
          <w:bCs/>
          <w:sz w:val="24"/>
          <w:szCs w:val="24"/>
        </w:rPr>
        <w:t xml:space="preserve">l promovente </w:t>
      </w:r>
      <w:r w:rsidRPr="004640F5">
        <w:rPr>
          <w:rFonts w:ascii="Arial Nova Light" w:eastAsia="Arial Nova" w:hAnsi="Arial Nova Light" w:cs="Arial"/>
          <w:bCs/>
          <w:sz w:val="24"/>
          <w:szCs w:val="24"/>
        </w:rPr>
        <w:t xml:space="preserve">en su escrito de demanda señala que </w:t>
      </w:r>
      <w:r w:rsidR="002603D4" w:rsidRPr="004640F5">
        <w:rPr>
          <w:rFonts w:ascii="Arial Nova Light" w:eastAsia="Arial Nova" w:hAnsi="Arial Nova Light" w:cs="Arial"/>
          <w:bCs/>
          <w:sz w:val="24"/>
          <w:szCs w:val="24"/>
        </w:rPr>
        <w:t xml:space="preserve">solicitó al IEE lo siguiente: </w:t>
      </w:r>
    </w:p>
    <w:p w14:paraId="5CA5DCE0" w14:textId="417C6A16" w:rsidR="002603D4" w:rsidRPr="004640F5" w:rsidRDefault="002603D4" w:rsidP="006D0ED0">
      <w:pPr>
        <w:pStyle w:val="Prrafodelista"/>
        <w:pBdr>
          <w:top w:val="nil"/>
          <w:left w:val="nil"/>
          <w:bottom w:val="nil"/>
          <w:right w:val="nil"/>
          <w:between w:val="nil"/>
        </w:pBdr>
        <w:spacing w:after="0" w:line="360" w:lineRule="auto"/>
        <w:ind w:left="567" w:right="992"/>
        <w:jc w:val="both"/>
        <w:rPr>
          <w:rFonts w:ascii="Arial Nova Light" w:eastAsia="Arial Nova" w:hAnsi="Arial Nova Light" w:cs="Arial"/>
          <w:bCs/>
          <w:i/>
          <w:iCs/>
          <w:sz w:val="20"/>
          <w:szCs w:val="20"/>
        </w:rPr>
      </w:pPr>
      <w:r w:rsidRPr="004640F5">
        <w:rPr>
          <w:rFonts w:ascii="Arial Nova Light" w:eastAsia="Arial Nova" w:hAnsi="Arial Nova Light" w:cs="Arial"/>
          <w:bCs/>
          <w:i/>
          <w:iCs/>
          <w:sz w:val="20"/>
          <w:szCs w:val="20"/>
        </w:rPr>
        <w:t>“Tenga a bien ejercer sus facultades reglamentarias a fin de que dicte los lineamientos necesarios para que aquellos legisladores que</w:t>
      </w:r>
      <w:r w:rsidR="002B43DE" w:rsidRPr="004640F5">
        <w:rPr>
          <w:rFonts w:ascii="Arial Nova Light" w:eastAsia="Arial Nova" w:hAnsi="Arial Nova Light" w:cs="Arial"/>
          <w:bCs/>
          <w:i/>
          <w:iCs/>
          <w:sz w:val="20"/>
          <w:szCs w:val="20"/>
        </w:rPr>
        <w:t xml:space="preserve"> originalmente fueran elegidos por el principio de mayoría relativa y que busquen ejercer su derecho a contender por la reelección dentro del proceso electoral 2020-2021 actualmente en curso, lo hagan exclusivamente por el mismo distrito y el mismo principio</w:t>
      </w:r>
      <w:r w:rsidR="00A2458E" w:rsidRPr="004640F5">
        <w:rPr>
          <w:rFonts w:ascii="Arial Nova Light" w:eastAsia="Arial Nova" w:hAnsi="Arial Nova Light" w:cs="Arial"/>
          <w:bCs/>
          <w:i/>
          <w:iCs/>
          <w:sz w:val="20"/>
          <w:szCs w:val="20"/>
        </w:rPr>
        <w:t xml:space="preserve"> por el que originalmente fueron electos en el anterior proceso electoral”</w:t>
      </w:r>
    </w:p>
    <w:p w14:paraId="3668737E" w14:textId="666B499F" w:rsidR="00A2458E" w:rsidRPr="004640F5" w:rsidRDefault="00A2458E"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i/>
          <w:iCs/>
          <w:sz w:val="24"/>
          <w:szCs w:val="24"/>
        </w:rPr>
      </w:pPr>
    </w:p>
    <w:p w14:paraId="3CF44E2D" w14:textId="69849628" w:rsidR="002A451D" w:rsidRPr="004640F5" w:rsidRDefault="002A451D"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i/>
          <w:iCs/>
          <w:sz w:val="24"/>
          <w:szCs w:val="24"/>
        </w:rPr>
      </w:pPr>
      <w:r w:rsidRPr="004640F5">
        <w:rPr>
          <w:rFonts w:ascii="Arial Nova Light" w:eastAsia="Arial Nova" w:hAnsi="Arial Nova Light" w:cs="Arial"/>
          <w:bCs/>
          <w:sz w:val="24"/>
          <w:szCs w:val="24"/>
        </w:rPr>
        <w:t xml:space="preserve">En tal sentido, el CG resolvió que </w:t>
      </w:r>
      <w:r w:rsidRPr="004640F5">
        <w:rPr>
          <w:rFonts w:ascii="Arial Nova Light" w:eastAsia="Arial Nova" w:hAnsi="Arial Nova Light" w:cs="Arial"/>
          <w:bCs/>
          <w:i/>
          <w:iCs/>
          <w:sz w:val="24"/>
          <w:szCs w:val="24"/>
        </w:rPr>
        <w:t xml:space="preserve">“el código, en su sección segunda, cuenta con un capítulo </w:t>
      </w:r>
      <w:r w:rsidR="00B83039" w:rsidRPr="004640F5">
        <w:rPr>
          <w:rFonts w:ascii="Arial Nova Light" w:eastAsia="Arial Nova" w:hAnsi="Arial Nova Light" w:cs="Arial"/>
          <w:bCs/>
          <w:i/>
          <w:iCs/>
          <w:sz w:val="24"/>
          <w:szCs w:val="24"/>
        </w:rPr>
        <w:t>completo dedicado a la reelección consecutiva, en cual en su artículo 156 A, fracción V, nos menciona que los diputados que pretendan su reelección, pueden contender por la misma o por diversa demarcación electoral por la cual fueron electos”</w:t>
      </w:r>
    </w:p>
    <w:p w14:paraId="7FF29BC9" w14:textId="194F6F33" w:rsidR="00B83039" w:rsidRPr="004640F5" w:rsidRDefault="00B83039"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i/>
          <w:iCs/>
          <w:sz w:val="24"/>
          <w:szCs w:val="24"/>
        </w:rPr>
      </w:pPr>
    </w:p>
    <w:p w14:paraId="1769B0B3" w14:textId="704C88DA" w:rsidR="00B83039" w:rsidRPr="004640F5" w:rsidRDefault="00B83039"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4640F5">
        <w:rPr>
          <w:rFonts w:ascii="Arial Nova Light" w:eastAsia="Arial Nova" w:hAnsi="Arial Nova Light" w:cs="Arial"/>
          <w:bCs/>
          <w:sz w:val="24"/>
          <w:szCs w:val="24"/>
        </w:rPr>
        <w:t xml:space="preserve">Así, la autoridad responsable considera </w:t>
      </w:r>
      <w:r w:rsidR="002A046C" w:rsidRPr="004640F5">
        <w:rPr>
          <w:rFonts w:ascii="Arial Nova Light" w:eastAsia="Arial Nova" w:hAnsi="Arial Nova Light" w:cs="Arial"/>
          <w:bCs/>
          <w:sz w:val="24"/>
          <w:szCs w:val="24"/>
        </w:rPr>
        <w:t xml:space="preserve">que no es necesario crear un reglamento para los efectos de la reelección tal como lo consulta el promovente. </w:t>
      </w:r>
    </w:p>
    <w:p w14:paraId="432B10C6" w14:textId="662F6640" w:rsidR="002A046C" w:rsidRPr="004640F5" w:rsidRDefault="002A046C"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42997584" w14:textId="3CFFA196" w:rsidR="0021055F" w:rsidRPr="004640F5" w:rsidRDefault="002A046C"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4640F5">
        <w:rPr>
          <w:rFonts w:ascii="Arial Nova Light" w:eastAsia="Arial Nova" w:hAnsi="Arial Nova Light" w:cs="Arial"/>
          <w:bCs/>
          <w:sz w:val="24"/>
          <w:szCs w:val="24"/>
        </w:rPr>
        <w:t>Tras ese contexto,</w:t>
      </w:r>
      <w:r w:rsidR="0021055F" w:rsidRPr="004640F5">
        <w:rPr>
          <w:rFonts w:ascii="Arial Nova Light" w:eastAsia="Arial Nova" w:hAnsi="Arial Nova Light" w:cs="Arial"/>
          <w:sz w:val="24"/>
          <w:szCs w:val="24"/>
        </w:rPr>
        <w:t xml:space="preserve"> luego de analizar la demanda, se observa que el promovente señala que le causa agravio lo siguiente: </w:t>
      </w:r>
    </w:p>
    <w:p w14:paraId="41197CE8" w14:textId="77777777" w:rsidR="000B13CE" w:rsidRPr="004640F5" w:rsidRDefault="000B13CE"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43729BC9" w14:textId="738E9C92" w:rsidR="002A046C" w:rsidRPr="004640F5" w:rsidRDefault="0021055F"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bookmarkStart w:id="1" w:name="_Hlk66106004"/>
      <w:r w:rsidRPr="004640F5">
        <w:rPr>
          <w:rFonts w:ascii="Arial Nova Light" w:eastAsia="Arial Nova" w:hAnsi="Arial Nova Light" w:cs="Arial"/>
          <w:bCs/>
          <w:sz w:val="24"/>
          <w:szCs w:val="24"/>
        </w:rPr>
        <w:t>E</w:t>
      </w:r>
      <w:r w:rsidR="002A046C" w:rsidRPr="004640F5">
        <w:rPr>
          <w:rFonts w:ascii="Arial Nova Light" w:eastAsia="Arial Nova" w:hAnsi="Arial Nova Light" w:cs="Arial"/>
          <w:bCs/>
          <w:sz w:val="24"/>
          <w:szCs w:val="24"/>
        </w:rPr>
        <w:t xml:space="preserve">l promovente considera que el artículo </w:t>
      </w:r>
      <w:r w:rsidR="002A046C" w:rsidRPr="004640F5">
        <w:rPr>
          <w:rFonts w:ascii="Arial Nova Light" w:eastAsia="Arial Nova" w:hAnsi="Arial Nova Light" w:cs="Arial"/>
          <w:b/>
          <w:sz w:val="24"/>
          <w:szCs w:val="24"/>
        </w:rPr>
        <w:t>referido</w:t>
      </w:r>
      <w:r w:rsidR="002A046C" w:rsidRPr="004640F5">
        <w:rPr>
          <w:rFonts w:ascii="Arial Nova Light" w:eastAsia="Arial Nova" w:hAnsi="Arial Nova Light" w:cs="Arial"/>
          <w:bCs/>
          <w:sz w:val="24"/>
          <w:szCs w:val="24"/>
        </w:rPr>
        <w:t xml:space="preserve"> por la autoridad en la respuesta a la consulta es inconstitucional, </w:t>
      </w:r>
      <w:r w:rsidR="00287213" w:rsidRPr="004640F5">
        <w:rPr>
          <w:rFonts w:ascii="Arial Nova Light" w:eastAsia="Arial Nova" w:hAnsi="Arial Nova Light" w:cs="Arial"/>
          <w:bCs/>
          <w:sz w:val="24"/>
          <w:szCs w:val="24"/>
        </w:rPr>
        <w:t xml:space="preserve">pues a su consideración, tal artículo violenta el mandato constitucional al momento de instituir la reelección en el sentido de legislar en su propio beneficio. </w:t>
      </w:r>
    </w:p>
    <w:p w14:paraId="1941E93B" w14:textId="24CC5267" w:rsidR="008D7905" w:rsidRPr="004640F5" w:rsidRDefault="008D790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4D820B50" w14:textId="48E0F21A" w:rsidR="008D7905" w:rsidRPr="004640F5" w:rsidRDefault="008D790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4640F5">
        <w:rPr>
          <w:rFonts w:ascii="Arial Nova Light" w:eastAsia="Arial Nova" w:hAnsi="Arial Nova Light" w:cs="Arial"/>
          <w:bCs/>
          <w:sz w:val="24"/>
          <w:szCs w:val="24"/>
        </w:rPr>
        <w:t>De tal manera, el ciudadano impugna considerando que cuenta con un interés legitimo y jurídico al ostentarse como elector y ciudadano</w:t>
      </w:r>
      <w:r w:rsidR="008A21D2" w:rsidRPr="004640F5">
        <w:rPr>
          <w:rFonts w:ascii="Arial Nova Light" w:eastAsia="Arial Nova" w:hAnsi="Arial Nova Light" w:cs="Arial"/>
          <w:bCs/>
          <w:sz w:val="24"/>
          <w:szCs w:val="24"/>
        </w:rPr>
        <w:t xml:space="preserve">, señalando que tiene el derecho de calificar el desempeño de los candidatos electos. </w:t>
      </w:r>
    </w:p>
    <w:bookmarkEnd w:id="1"/>
    <w:p w14:paraId="78B4A0BD" w14:textId="448775EF" w:rsidR="008A21D2" w:rsidRPr="004640F5" w:rsidRDefault="008A21D2"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78C92439" w14:textId="46C02C5F" w:rsidR="0021055F" w:rsidRPr="004640F5" w:rsidRDefault="0021055F" w:rsidP="005B6952">
      <w:pPr>
        <w:spacing w:after="0" w:line="360" w:lineRule="auto"/>
        <w:contextualSpacing/>
        <w:jc w:val="both"/>
        <w:rPr>
          <w:rFonts w:ascii="Arial Nova Light" w:hAnsi="Arial Nova Light" w:cs="Arial"/>
          <w:sz w:val="24"/>
          <w:szCs w:val="24"/>
        </w:rPr>
      </w:pPr>
      <w:r w:rsidRPr="004640F5">
        <w:rPr>
          <w:rFonts w:ascii="Arial Nova Light" w:hAnsi="Arial Nova Light" w:cs="Arial"/>
          <w:sz w:val="24"/>
          <w:szCs w:val="24"/>
        </w:rPr>
        <w:t>Al respecto, este Tribunal considera que previo al análisis de los agravios que plantea el actor en contra de la respuesta del Instituto local, es necesario analizar si este cumple con el requisito de procedencia previsto en el artículo 304, fracción II, inciso a), del Código Electoral, relativo al interés jurídico</w:t>
      </w:r>
      <w:r w:rsidRPr="004640F5">
        <w:rPr>
          <w:rStyle w:val="Refdenotaalpie"/>
          <w:rFonts w:ascii="Arial Nova Light" w:hAnsi="Arial Nova Light" w:cs="Arial"/>
          <w:sz w:val="24"/>
          <w:szCs w:val="24"/>
        </w:rPr>
        <w:footnoteReference w:id="4"/>
      </w:r>
      <w:r w:rsidRPr="004640F5">
        <w:rPr>
          <w:rFonts w:ascii="Arial Nova Light" w:hAnsi="Arial Nova Light" w:cs="Arial"/>
          <w:sz w:val="24"/>
          <w:szCs w:val="24"/>
        </w:rPr>
        <w:t xml:space="preserve"> o, en su caso, que cuente con un interés legítimo.</w:t>
      </w:r>
    </w:p>
    <w:p w14:paraId="55731413" w14:textId="3AD5F565" w:rsidR="0021055F" w:rsidRPr="004640F5" w:rsidRDefault="0021055F" w:rsidP="005B6952">
      <w:pPr>
        <w:spacing w:after="0" w:line="360" w:lineRule="auto"/>
        <w:contextualSpacing/>
        <w:jc w:val="both"/>
        <w:rPr>
          <w:rFonts w:ascii="Arial Nova Light" w:hAnsi="Arial Nova Light" w:cs="Arial"/>
          <w:sz w:val="24"/>
          <w:szCs w:val="24"/>
        </w:rPr>
      </w:pPr>
    </w:p>
    <w:p w14:paraId="0B0439E2" w14:textId="1B75E111" w:rsidR="000C5A16" w:rsidRPr="004640F5" w:rsidRDefault="000C5A16" w:rsidP="005B6952">
      <w:pPr>
        <w:spacing w:after="0" w:line="360" w:lineRule="auto"/>
        <w:contextualSpacing/>
        <w:jc w:val="both"/>
        <w:rPr>
          <w:rFonts w:ascii="Arial Nova Light" w:hAnsi="Arial Nova Light" w:cs="Arial"/>
          <w:sz w:val="24"/>
          <w:szCs w:val="24"/>
        </w:rPr>
      </w:pPr>
      <w:r w:rsidRPr="004640F5">
        <w:rPr>
          <w:rFonts w:ascii="Arial Nova Light" w:hAnsi="Arial Nova Light" w:cs="Arial"/>
          <w:sz w:val="24"/>
          <w:szCs w:val="24"/>
        </w:rPr>
        <w:lastRenderedPageBreak/>
        <w:t xml:space="preserve">De tal suerte que, para determinar el cumplimiento o no de tal requisito, es necesario establecer los presupuestos que dispone el marco normativo para registrarse como candidato a una diputación con posibilidad a la reelección. Ello, con el propósito de advertir si la respuesta generada a su solicitud, se trata de un acto de aplicación de la norma y si esto afectó algún derecho político-electoral que pudiera ser tutelable a través del presente juicio ciudadano. </w:t>
      </w:r>
    </w:p>
    <w:p w14:paraId="3D33EB06" w14:textId="1447F78F" w:rsidR="0021055F" w:rsidRPr="004640F5" w:rsidRDefault="0021055F" w:rsidP="005B6952">
      <w:pPr>
        <w:spacing w:after="0" w:line="360" w:lineRule="auto"/>
        <w:contextualSpacing/>
        <w:jc w:val="both"/>
        <w:rPr>
          <w:rFonts w:ascii="Arial Nova Light" w:hAnsi="Arial Nova Light" w:cs="Arial"/>
          <w:sz w:val="24"/>
          <w:szCs w:val="24"/>
        </w:rPr>
      </w:pPr>
    </w:p>
    <w:p w14:paraId="20B82083" w14:textId="77777777" w:rsidR="00294777" w:rsidRPr="004640F5" w:rsidRDefault="000C5A16" w:rsidP="005B6952">
      <w:pPr>
        <w:spacing w:after="0" w:line="360" w:lineRule="auto"/>
        <w:contextualSpacing/>
        <w:jc w:val="both"/>
        <w:rPr>
          <w:rFonts w:ascii="Arial Nova Light" w:hAnsi="Arial Nova Light" w:cs="Arial"/>
          <w:sz w:val="24"/>
          <w:szCs w:val="24"/>
        </w:rPr>
      </w:pPr>
      <w:r w:rsidRPr="004640F5">
        <w:rPr>
          <w:rFonts w:ascii="Arial Nova Light" w:hAnsi="Arial Nova Light" w:cs="Arial"/>
          <w:b/>
          <w:bCs/>
          <w:sz w:val="24"/>
          <w:szCs w:val="24"/>
          <w:u w:val="single"/>
        </w:rPr>
        <w:t>Caso Concreto</w:t>
      </w:r>
      <w:r w:rsidRPr="004640F5">
        <w:rPr>
          <w:rFonts w:ascii="Arial Nova Light" w:hAnsi="Arial Nova Light" w:cs="Arial"/>
          <w:sz w:val="24"/>
          <w:szCs w:val="24"/>
        </w:rPr>
        <w:t xml:space="preserve">. </w:t>
      </w:r>
    </w:p>
    <w:p w14:paraId="44D690BE" w14:textId="77777777" w:rsidR="00294777" w:rsidRPr="004640F5" w:rsidRDefault="00294777" w:rsidP="005B6952">
      <w:pPr>
        <w:spacing w:after="0" w:line="360" w:lineRule="auto"/>
        <w:contextualSpacing/>
        <w:jc w:val="both"/>
        <w:rPr>
          <w:rFonts w:ascii="Arial Nova Light" w:hAnsi="Arial Nova Light" w:cs="Arial"/>
          <w:sz w:val="24"/>
          <w:szCs w:val="24"/>
        </w:rPr>
      </w:pPr>
    </w:p>
    <w:p w14:paraId="1FFBB21D" w14:textId="52C403E7" w:rsidR="0062428B" w:rsidRPr="004640F5" w:rsidRDefault="0062428B" w:rsidP="005B6952">
      <w:pPr>
        <w:spacing w:after="0" w:line="360" w:lineRule="auto"/>
        <w:contextualSpacing/>
        <w:jc w:val="both"/>
        <w:rPr>
          <w:rFonts w:ascii="Arial Nova Light" w:eastAsia="Arial Nova" w:hAnsi="Arial Nova Light" w:cs="Arial"/>
          <w:b/>
          <w:bCs/>
          <w:sz w:val="24"/>
          <w:szCs w:val="24"/>
        </w:rPr>
      </w:pPr>
      <w:r w:rsidRPr="004640F5">
        <w:rPr>
          <w:rFonts w:ascii="Arial Nova Light" w:hAnsi="Arial Nova Light" w:cs="Arial"/>
          <w:b/>
          <w:bCs/>
          <w:sz w:val="24"/>
          <w:szCs w:val="24"/>
        </w:rPr>
        <w:t xml:space="preserve">Se actualiza la causa de improcedencia contenida en el </w:t>
      </w:r>
      <w:r w:rsidRPr="004640F5">
        <w:rPr>
          <w:rFonts w:ascii="Arial Nova Light" w:eastAsia="Arial Nova" w:hAnsi="Arial Nova Light" w:cs="Arial"/>
          <w:b/>
          <w:bCs/>
          <w:sz w:val="24"/>
          <w:szCs w:val="24"/>
        </w:rPr>
        <w:t xml:space="preserve">artículo 304, fracción II, inciso a), del Código Electoral. </w:t>
      </w:r>
    </w:p>
    <w:p w14:paraId="6C52C78F" w14:textId="77777777" w:rsidR="000C5A16" w:rsidRPr="004640F5" w:rsidRDefault="000C5A16" w:rsidP="005B6952">
      <w:pPr>
        <w:spacing w:after="0" w:line="360" w:lineRule="auto"/>
        <w:contextualSpacing/>
        <w:jc w:val="both"/>
        <w:rPr>
          <w:rFonts w:ascii="Arial Nova Light" w:eastAsia="Arial Nova" w:hAnsi="Arial Nova Light" w:cs="Arial"/>
          <w:b/>
          <w:bCs/>
          <w:sz w:val="24"/>
          <w:szCs w:val="24"/>
        </w:rPr>
      </w:pPr>
    </w:p>
    <w:p w14:paraId="0EE36E10" w14:textId="77777777" w:rsidR="00036BD4" w:rsidRPr="004640F5" w:rsidRDefault="000C5A16" w:rsidP="005B6952">
      <w:pPr>
        <w:spacing w:after="0" w:line="360" w:lineRule="auto"/>
        <w:contextualSpacing/>
        <w:jc w:val="both"/>
        <w:rPr>
          <w:rFonts w:ascii="Arial Nova Light" w:hAnsi="Arial Nova Light" w:cs="Arial"/>
          <w:bCs/>
          <w:sz w:val="24"/>
          <w:szCs w:val="24"/>
          <w:lang w:val="es-ES_tradnl"/>
        </w:rPr>
      </w:pPr>
      <w:r w:rsidRPr="004640F5">
        <w:rPr>
          <w:rFonts w:ascii="Arial Nova Light" w:hAnsi="Arial Nova Light" w:cs="Arial"/>
          <w:bCs/>
          <w:sz w:val="24"/>
          <w:szCs w:val="24"/>
          <w:lang w:val="es-ES_tradnl"/>
        </w:rPr>
        <w:t xml:space="preserve">El juicio ciudadano </w:t>
      </w:r>
      <w:r w:rsidRPr="004640F5">
        <w:rPr>
          <w:rFonts w:ascii="Arial Nova Light" w:hAnsi="Arial Nova Light" w:cs="Arial"/>
          <w:b/>
          <w:sz w:val="24"/>
          <w:szCs w:val="24"/>
          <w:lang w:val="es-ES_tradnl"/>
        </w:rPr>
        <w:t xml:space="preserve">es improcedente </w:t>
      </w:r>
      <w:r w:rsidRPr="004640F5">
        <w:rPr>
          <w:rFonts w:ascii="Arial Nova Light" w:hAnsi="Arial Nova Light" w:cs="Arial"/>
          <w:bCs/>
          <w:sz w:val="24"/>
          <w:szCs w:val="24"/>
          <w:lang w:val="es-ES_tradnl"/>
        </w:rPr>
        <w:t>porque el actor carece de interés jurídico y legítimo para impugnar la inconstitucionalidad del artículo 156, apartado A, fracción V y, a su vez, la emisión de los lineamientos a través de</w:t>
      </w:r>
      <w:r w:rsidR="00537512" w:rsidRPr="004640F5">
        <w:rPr>
          <w:rFonts w:ascii="Arial Nova Light" w:hAnsi="Arial Nova Light" w:cs="Arial"/>
          <w:bCs/>
          <w:sz w:val="24"/>
          <w:szCs w:val="24"/>
          <w:lang w:val="es-ES_tradnl"/>
        </w:rPr>
        <w:t xml:space="preserve"> </w:t>
      </w:r>
      <w:r w:rsidRPr="004640F5">
        <w:rPr>
          <w:rFonts w:ascii="Arial Nova Light" w:hAnsi="Arial Nova Light" w:cs="Arial"/>
          <w:bCs/>
          <w:sz w:val="24"/>
          <w:szCs w:val="24"/>
          <w:lang w:val="es-ES_tradnl"/>
        </w:rPr>
        <w:t>l</w:t>
      </w:r>
      <w:r w:rsidR="00537512" w:rsidRPr="004640F5">
        <w:rPr>
          <w:rFonts w:ascii="Arial Nova Light" w:hAnsi="Arial Nova Light" w:cs="Arial"/>
          <w:bCs/>
          <w:sz w:val="24"/>
          <w:szCs w:val="24"/>
          <w:lang w:val="es-ES_tradnl"/>
        </w:rPr>
        <w:t>a</w:t>
      </w:r>
      <w:r w:rsidRPr="004640F5">
        <w:rPr>
          <w:rFonts w:ascii="Arial Nova Light" w:hAnsi="Arial Nova Light" w:cs="Arial"/>
          <w:bCs/>
          <w:sz w:val="24"/>
          <w:szCs w:val="24"/>
          <w:lang w:val="es-ES_tradnl"/>
        </w:rPr>
        <w:t xml:space="preserve"> </w:t>
      </w:r>
      <w:r w:rsidR="00537512" w:rsidRPr="004640F5">
        <w:rPr>
          <w:rFonts w:ascii="Arial Nova Light" w:hAnsi="Arial Nova Light" w:cs="Arial"/>
          <w:bCs/>
          <w:sz w:val="24"/>
          <w:szCs w:val="24"/>
          <w:lang w:val="es-ES_tradnl"/>
        </w:rPr>
        <w:t>resolución impugnada</w:t>
      </w:r>
      <w:r w:rsidRPr="004640F5">
        <w:rPr>
          <w:rFonts w:ascii="Arial Nova Light" w:hAnsi="Arial Nova Light" w:cs="Arial"/>
          <w:bCs/>
          <w:sz w:val="24"/>
          <w:szCs w:val="24"/>
          <w:lang w:val="es-ES_tradnl"/>
        </w:rPr>
        <w:t>, ya que ello no incide en su esfera de derechos político-electorales como ciudadano</w:t>
      </w:r>
      <w:r w:rsidR="00537512" w:rsidRPr="004640F5">
        <w:rPr>
          <w:rFonts w:ascii="Arial Nova Light" w:hAnsi="Arial Nova Light" w:cs="Arial"/>
          <w:bCs/>
          <w:sz w:val="24"/>
          <w:szCs w:val="24"/>
          <w:lang w:val="es-ES_tradnl"/>
        </w:rPr>
        <w:t xml:space="preserve"> por las siguientes consideraciones</w:t>
      </w:r>
      <w:r w:rsidRPr="004640F5">
        <w:rPr>
          <w:rFonts w:ascii="Arial Nova Light" w:hAnsi="Arial Nova Light" w:cs="Arial"/>
          <w:bCs/>
          <w:sz w:val="24"/>
          <w:szCs w:val="24"/>
          <w:lang w:val="es-ES_tradnl"/>
        </w:rPr>
        <w:t xml:space="preserve">. </w:t>
      </w:r>
    </w:p>
    <w:p w14:paraId="57AF9FF3" w14:textId="77777777" w:rsidR="00036BD4" w:rsidRPr="004640F5" w:rsidRDefault="00036BD4" w:rsidP="005B6952">
      <w:pPr>
        <w:spacing w:after="0" w:line="360" w:lineRule="auto"/>
        <w:contextualSpacing/>
        <w:jc w:val="both"/>
        <w:rPr>
          <w:rFonts w:ascii="Arial Nova Light" w:hAnsi="Arial Nova Light" w:cs="Arial"/>
          <w:bCs/>
          <w:sz w:val="24"/>
          <w:szCs w:val="24"/>
          <w:lang w:val="es-ES_tradnl"/>
        </w:rPr>
      </w:pPr>
    </w:p>
    <w:p w14:paraId="7C7B60B8" w14:textId="390CF591" w:rsidR="00537512" w:rsidRPr="004640F5" w:rsidRDefault="00537512" w:rsidP="005B6952">
      <w:pPr>
        <w:spacing w:after="0" w:line="360" w:lineRule="auto"/>
        <w:contextualSpacing/>
        <w:jc w:val="both"/>
        <w:rPr>
          <w:rFonts w:ascii="Arial Nova Light" w:hAnsi="Arial Nova Light" w:cs="Arial"/>
          <w:sz w:val="24"/>
          <w:szCs w:val="24"/>
          <w:lang w:bidi="en-US"/>
        </w:rPr>
      </w:pPr>
      <w:r w:rsidRPr="004640F5">
        <w:rPr>
          <w:rFonts w:ascii="Arial Nova Light" w:hAnsi="Arial Nova Light" w:cs="Arial"/>
          <w:bCs/>
          <w:sz w:val="24"/>
          <w:szCs w:val="24"/>
          <w:lang w:val="es-ES_tradnl"/>
        </w:rPr>
        <w:t xml:space="preserve">En principio, </w:t>
      </w:r>
      <w:r w:rsidRPr="004640F5">
        <w:rPr>
          <w:rFonts w:ascii="Arial Nova Light" w:hAnsi="Arial Nova Light" w:cs="Arial"/>
          <w:sz w:val="24"/>
          <w:szCs w:val="24"/>
          <w:lang w:bidi="en-US"/>
        </w:rPr>
        <w:t>el artículo 18 de la Constitución Política del Estado</w:t>
      </w:r>
      <w:r w:rsidRPr="004640F5">
        <w:rPr>
          <w:rStyle w:val="Refdenotaalpie"/>
          <w:rFonts w:ascii="Arial Nova Light" w:hAnsi="Arial Nova Light" w:cs="Arial"/>
          <w:sz w:val="24"/>
          <w:szCs w:val="24"/>
          <w:lang w:bidi="en-US"/>
        </w:rPr>
        <w:footnoteReference w:id="5"/>
      </w:r>
      <w:r w:rsidRPr="004640F5">
        <w:rPr>
          <w:rFonts w:ascii="Arial Nova Light" w:hAnsi="Arial Nova Light" w:cs="Arial"/>
          <w:sz w:val="24"/>
          <w:szCs w:val="24"/>
          <w:lang w:bidi="en-US"/>
        </w:rPr>
        <w:t xml:space="preserve"> prevé entre otras cuestiones, que las y los diputados podrán ser electos hasta por dos periodos consecutivos y que su postulación solo podrá ser realizada por el mismo partido o por cualquiera de los partidos integrantes de la coalición que los hubieren postulado. </w:t>
      </w:r>
    </w:p>
    <w:p w14:paraId="413591C5" w14:textId="77777777" w:rsidR="00036BD4" w:rsidRPr="004640F5" w:rsidRDefault="00036BD4" w:rsidP="005B6952">
      <w:pPr>
        <w:spacing w:after="0" w:line="360" w:lineRule="auto"/>
        <w:contextualSpacing/>
        <w:jc w:val="both"/>
        <w:rPr>
          <w:rFonts w:ascii="Arial Nova Light" w:hAnsi="Arial Nova Light" w:cs="Arial"/>
          <w:bCs/>
          <w:sz w:val="24"/>
          <w:szCs w:val="24"/>
          <w:lang w:val="es-ES_tradnl"/>
        </w:rPr>
      </w:pPr>
    </w:p>
    <w:p w14:paraId="243A7A8A" w14:textId="77777777" w:rsidR="00537512" w:rsidRPr="004640F5" w:rsidRDefault="00537512" w:rsidP="005B6952">
      <w:pPr>
        <w:spacing w:line="360" w:lineRule="auto"/>
        <w:jc w:val="both"/>
        <w:rPr>
          <w:rFonts w:ascii="Arial Nova Light" w:hAnsi="Arial Nova Light" w:cs="Arial"/>
          <w:sz w:val="24"/>
          <w:szCs w:val="24"/>
        </w:rPr>
      </w:pPr>
      <w:r w:rsidRPr="004640F5">
        <w:rPr>
          <w:rFonts w:ascii="Arial Nova Light" w:hAnsi="Arial Nova Light" w:cs="Arial"/>
          <w:sz w:val="24"/>
          <w:szCs w:val="24"/>
          <w:lang w:bidi="en-US"/>
        </w:rPr>
        <w:t xml:space="preserve">Por su parte, el </w:t>
      </w:r>
      <w:r w:rsidRPr="004640F5">
        <w:rPr>
          <w:rFonts w:ascii="Arial Nova Light" w:hAnsi="Arial Nova Light" w:cs="Arial"/>
          <w:sz w:val="24"/>
          <w:szCs w:val="24"/>
        </w:rPr>
        <w:t xml:space="preserve">artículo 156, apartado A, del Código Electoral establece que podrán optar por la reelección consecutiva las y los servidores públicos propietarios o suplentes de elección popular que hayan ocupado el cargo. Asimismo, la fracción V de tal precepto, señala que las y los diputados que pretendan su reelección, podrán contender por la misma o </w:t>
      </w:r>
      <w:r w:rsidRPr="004640F5">
        <w:rPr>
          <w:rFonts w:ascii="Arial Nova Light" w:hAnsi="Arial Nova Light" w:cs="Arial"/>
          <w:b/>
          <w:bCs/>
          <w:sz w:val="24"/>
          <w:szCs w:val="24"/>
        </w:rPr>
        <w:t>por diversa demarcación</w:t>
      </w:r>
      <w:r w:rsidRPr="004640F5">
        <w:rPr>
          <w:rFonts w:ascii="Arial Nova Light" w:hAnsi="Arial Nova Light" w:cs="Arial"/>
          <w:sz w:val="24"/>
          <w:szCs w:val="24"/>
        </w:rPr>
        <w:t xml:space="preserve"> electoral por la cual fueron electos.</w:t>
      </w:r>
    </w:p>
    <w:p w14:paraId="727BD82C" w14:textId="77777777" w:rsidR="00537512" w:rsidRPr="004640F5" w:rsidRDefault="00537512" w:rsidP="005B6952">
      <w:pPr>
        <w:spacing w:line="360" w:lineRule="auto"/>
        <w:jc w:val="both"/>
        <w:rPr>
          <w:rFonts w:ascii="Arial Nova Light" w:hAnsi="Arial Nova Light" w:cs="Arial"/>
          <w:sz w:val="24"/>
          <w:szCs w:val="24"/>
        </w:rPr>
      </w:pPr>
      <w:r w:rsidRPr="004640F5">
        <w:rPr>
          <w:rFonts w:ascii="Arial Nova Light" w:hAnsi="Arial Nova Light" w:cs="Arial"/>
          <w:sz w:val="24"/>
          <w:szCs w:val="24"/>
        </w:rPr>
        <w:t xml:space="preserve">De lo anterior es posible concluir que, quienes son destinatarios de la norma que permite la reelección, evidentemente son las y los ciudadanos que desempeñan un cargo de elección popular, en este caso una diputación en el Congreso local. </w:t>
      </w:r>
    </w:p>
    <w:p w14:paraId="5BB6859B" w14:textId="0DF7C113" w:rsidR="00597515" w:rsidRPr="004640F5" w:rsidRDefault="007A0819"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4640F5">
        <w:rPr>
          <w:rFonts w:ascii="Arial Nova Light" w:eastAsia="Arial Nova" w:hAnsi="Arial Nova Light" w:cs="Arial"/>
          <w:sz w:val="24"/>
          <w:szCs w:val="24"/>
        </w:rPr>
        <w:t>Luego, l</w:t>
      </w:r>
      <w:r w:rsidR="00537512" w:rsidRPr="004640F5">
        <w:rPr>
          <w:rFonts w:ascii="Arial Nova Light" w:eastAsia="Arial Nova" w:hAnsi="Arial Nova Light" w:cs="Arial"/>
          <w:sz w:val="24"/>
          <w:szCs w:val="24"/>
        </w:rPr>
        <w:t>a</w:t>
      </w:r>
      <w:r w:rsidR="00EF5068" w:rsidRPr="004640F5">
        <w:rPr>
          <w:rFonts w:ascii="Arial Nova Light" w:eastAsia="Arial Nova" w:hAnsi="Arial Nova Light" w:cs="Arial"/>
          <w:sz w:val="24"/>
          <w:szCs w:val="24"/>
        </w:rPr>
        <w:t xml:space="preserve"> Sala Superior ha dictado que </w:t>
      </w:r>
      <w:r w:rsidR="00B2436A" w:rsidRPr="004640F5">
        <w:rPr>
          <w:rFonts w:ascii="Arial Nova Light" w:eastAsia="Arial Nova" w:hAnsi="Arial Nova Light" w:cs="Arial"/>
          <w:sz w:val="24"/>
          <w:szCs w:val="24"/>
        </w:rPr>
        <w:t xml:space="preserve">por regla general, el interés jurídico se advierte cuando en la demanda se esgrimen vulneraciones de algún derecho sustancial del enjuiciante, a la vez que éste argumenta que la intervención del órgano jurisdiccional competente es necesaria </w:t>
      </w:r>
      <w:r w:rsidR="00B2436A" w:rsidRPr="004640F5">
        <w:rPr>
          <w:rFonts w:ascii="Arial Nova Light" w:eastAsia="Arial Nova" w:hAnsi="Arial Nova Light" w:cs="Arial"/>
          <w:sz w:val="24"/>
          <w:szCs w:val="24"/>
        </w:rPr>
        <w:lastRenderedPageBreak/>
        <w:t>y útil para lograr la reparación de esa conculcación, mediante la formulación de algún planteamiento tendente a obtener el dictado de una sentencia que tenga el efecto de revocar o modificar el acto o resolución reclamado, lo cual debe producir la restitución al demandante en el goce del pretendido derecho político-electoral violado</w:t>
      </w:r>
      <w:r w:rsidR="00B2436A" w:rsidRPr="004640F5">
        <w:rPr>
          <w:rStyle w:val="Refdenotaalpie"/>
          <w:rFonts w:ascii="Arial Nova Light" w:eastAsia="Arial Nova" w:hAnsi="Arial Nova Light" w:cs="Arial"/>
          <w:sz w:val="24"/>
          <w:szCs w:val="24"/>
        </w:rPr>
        <w:footnoteReference w:id="6"/>
      </w:r>
      <w:r w:rsidR="00B2436A" w:rsidRPr="004640F5">
        <w:rPr>
          <w:rFonts w:ascii="Arial Nova Light" w:eastAsia="Arial Nova" w:hAnsi="Arial Nova Light" w:cs="Arial"/>
          <w:sz w:val="24"/>
          <w:szCs w:val="24"/>
        </w:rPr>
        <w:t>.</w:t>
      </w:r>
    </w:p>
    <w:p w14:paraId="74B6B5BD" w14:textId="77777777" w:rsidR="0046432B" w:rsidRPr="004640F5" w:rsidRDefault="0046432B"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1E7B0A42" w14:textId="4EB8BA30" w:rsidR="00B2436A" w:rsidRPr="004640F5" w:rsidRDefault="00B2436A"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
          <w:bCs/>
          <w:sz w:val="24"/>
          <w:szCs w:val="24"/>
        </w:rPr>
      </w:pPr>
      <w:r w:rsidRPr="004640F5">
        <w:rPr>
          <w:rFonts w:ascii="Arial Nova Light" w:eastAsia="Arial Nova" w:hAnsi="Arial Nova Light" w:cs="Arial"/>
          <w:sz w:val="24"/>
          <w:szCs w:val="24"/>
        </w:rPr>
        <w:t xml:space="preserve">Criterio </w:t>
      </w:r>
      <w:r w:rsidR="00EF5068" w:rsidRPr="004640F5">
        <w:rPr>
          <w:rFonts w:ascii="Arial Nova Light" w:eastAsia="Arial Nova" w:hAnsi="Arial Nova Light" w:cs="Arial"/>
          <w:sz w:val="24"/>
          <w:szCs w:val="24"/>
        </w:rPr>
        <w:t xml:space="preserve">soportado en la Jurisprudencia 7/2002, de rubro </w:t>
      </w:r>
      <w:r w:rsidR="00EF5068" w:rsidRPr="004640F5">
        <w:rPr>
          <w:rFonts w:ascii="Arial Nova Light" w:eastAsia="Arial Nova" w:hAnsi="Arial Nova Light" w:cs="Arial"/>
          <w:b/>
          <w:bCs/>
          <w:sz w:val="24"/>
          <w:szCs w:val="24"/>
        </w:rPr>
        <w:t>“INTERÉS JURÍDICO DIRECTO PARA PROMOVER MEDIOS DE IMPUGNACIÓN. REQUISITOS PARA SU SURTIMIENTO”</w:t>
      </w:r>
      <w:r w:rsidR="00EF5068" w:rsidRPr="004640F5">
        <w:rPr>
          <w:rStyle w:val="Refdenotaalpie"/>
          <w:rFonts w:ascii="Arial Nova Light" w:eastAsia="Arial Nova" w:hAnsi="Arial Nova Light" w:cs="Arial"/>
          <w:b/>
          <w:bCs/>
          <w:sz w:val="24"/>
          <w:szCs w:val="24"/>
        </w:rPr>
        <w:footnoteReference w:id="7"/>
      </w:r>
      <w:r w:rsidR="00BE46DB" w:rsidRPr="004640F5">
        <w:rPr>
          <w:rFonts w:ascii="Arial Nova Light" w:eastAsia="Arial Nova" w:hAnsi="Arial Nova Light" w:cs="Arial"/>
          <w:b/>
          <w:bCs/>
          <w:sz w:val="24"/>
          <w:szCs w:val="24"/>
        </w:rPr>
        <w:t xml:space="preserve"> </w:t>
      </w:r>
    </w:p>
    <w:p w14:paraId="32E25229" w14:textId="77777777" w:rsidR="00AA711A" w:rsidRPr="004640F5"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p>
    <w:p w14:paraId="42A61BC4" w14:textId="057EE58F" w:rsidR="00270B01" w:rsidRPr="004640F5"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r w:rsidRPr="004640F5">
        <w:rPr>
          <w:rFonts w:ascii="Arial Nova Light" w:hAnsi="Arial Nova Light" w:cs="Arial"/>
          <w:sz w:val="24"/>
          <w:szCs w:val="24"/>
          <w:shd w:val="clear" w:color="auto" w:fill="FFFFFF"/>
        </w:rPr>
        <w:t>En este sentido, conforme a lo establecido en la Ley de </w:t>
      </w:r>
      <w:r w:rsidR="0023590F" w:rsidRPr="004640F5">
        <w:rPr>
          <w:rFonts w:ascii="Arial Nova Light" w:hAnsi="Arial Nova Light" w:cs="Arial"/>
          <w:sz w:val="24"/>
          <w:szCs w:val="24"/>
          <w:shd w:val="clear" w:color="auto" w:fill="FFFFFF"/>
        </w:rPr>
        <w:t>M</w:t>
      </w:r>
      <w:r w:rsidRPr="004640F5">
        <w:rPr>
          <w:rFonts w:ascii="Arial Nova Light" w:hAnsi="Arial Nova Light" w:cs="Arial"/>
          <w:sz w:val="24"/>
          <w:szCs w:val="24"/>
          <w:shd w:val="clear" w:color="auto" w:fill="FFFFFF"/>
        </w:rPr>
        <w:t>edios</w:t>
      </w:r>
      <w:r w:rsidR="0023590F" w:rsidRPr="004640F5">
        <w:rPr>
          <w:rStyle w:val="Refdenotaalpie"/>
          <w:rFonts w:ascii="Arial Nova Light" w:hAnsi="Arial Nova Light" w:cs="Arial"/>
          <w:sz w:val="24"/>
          <w:szCs w:val="24"/>
          <w:shd w:val="clear" w:color="auto" w:fill="FFFFFF"/>
        </w:rPr>
        <w:footnoteReference w:id="8"/>
      </w:r>
      <w:r w:rsidRPr="004640F5">
        <w:rPr>
          <w:rFonts w:ascii="Arial Nova Light" w:hAnsi="Arial Nova Light" w:cs="Arial"/>
          <w:sz w:val="24"/>
          <w:szCs w:val="24"/>
          <w:shd w:val="clear" w:color="auto" w:fill="FFFFFF"/>
        </w:rPr>
        <w:t xml:space="preserve">, </w:t>
      </w:r>
      <w:r w:rsidR="00036BD4" w:rsidRPr="004640F5">
        <w:rPr>
          <w:rFonts w:ascii="Arial Nova Light" w:hAnsi="Arial Nova Light" w:cs="Arial"/>
          <w:sz w:val="24"/>
          <w:szCs w:val="24"/>
          <w:shd w:val="clear" w:color="auto" w:fill="FFFFFF"/>
        </w:rPr>
        <w:t>tal como lo señala la Sala Superior</w:t>
      </w:r>
      <w:r w:rsidR="00036BD4" w:rsidRPr="004640F5">
        <w:rPr>
          <w:rStyle w:val="Refdenotaalpie"/>
          <w:rFonts w:ascii="Arial Nova Light" w:hAnsi="Arial Nova Light" w:cs="Arial"/>
          <w:sz w:val="24"/>
          <w:szCs w:val="24"/>
          <w:shd w:val="clear" w:color="auto" w:fill="FFFFFF"/>
        </w:rPr>
        <w:footnoteReference w:id="9"/>
      </w:r>
      <w:r w:rsidR="00036BD4" w:rsidRPr="004640F5">
        <w:rPr>
          <w:rFonts w:ascii="Arial Nova Light" w:hAnsi="Arial Nova Light" w:cs="Arial"/>
          <w:sz w:val="24"/>
          <w:szCs w:val="24"/>
          <w:shd w:val="clear" w:color="auto" w:fill="FFFFFF"/>
        </w:rPr>
        <w:t xml:space="preserve">, </w:t>
      </w:r>
      <w:r w:rsidRPr="004640F5">
        <w:rPr>
          <w:rFonts w:ascii="Arial Nova Light" w:hAnsi="Arial Nova Light" w:cs="Arial"/>
          <w:sz w:val="24"/>
          <w:szCs w:val="24"/>
          <w:shd w:val="clear" w:color="auto" w:fill="FFFFFF"/>
        </w:rPr>
        <w:t>para que tal interés jurídico exista, el acto o resolución impugnado, en la materia electoral, debe repercutir de manera clara y suficiente en el ámbito de derechos de quien impugna, pues sólo de esa manera, de llegar a demostrarse la afectación del derecho, se le podrá restituir en el goce de la prerrogativa vulnerada o bien se hará factible su ejercicio.</w:t>
      </w:r>
    </w:p>
    <w:p w14:paraId="37135182" w14:textId="77777777" w:rsidR="00AA711A" w:rsidRPr="004640F5"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i/>
          <w:iCs/>
          <w:sz w:val="24"/>
          <w:szCs w:val="24"/>
        </w:rPr>
      </w:pPr>
    </w:p>
    <w:p w14:paraId="570D787F" w14:textId="7DD86C59" w:rsidR="00270B01" w:rsidRPr="004640F5" w:rsidRDefault="001866C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4640F5">
        <w:rPr>
          <w:rFonts w:ascii="Arial Nova Light" w:eastAsia="Arial Nova" w:hAnsi="Arial Nova Light" w:cs="Arial"/>
          <w:sz w:val="24"/>
          <w:szCs w:val="24"/>
        </w:rPr>
        <w:t>Así</w:t>
      </w:r>
      <w:r w:rsidR="00ED2353" w:rsidRPr="004640F5">
        <w:rPr>
          <w:rFonts w:ascii="Arial Nova Light" w:eastAsia="Arial Nova" w:hAnsi="Arial Nova Light" w:cs="Arial"/>
          <w:sz w:val="24"/>
          <w:szCs w:val="24"/>
        </w:rPr>
        <w:t xml:space="preserve">, para que este Tribunal conozca de fondo el medio impugnado, el promovente tiene el deber de aportar los elementos necesarios y suficientes para </w:t>
      </w:r>
      <w:r w:rsidR="00DD09F0" w:rsidRPr="004640F5">
        <w:rPr>
          <w:rFonts w:ascii="Arial Nova Light" w:eastAsia="Arial Nova" w:hAnsi="Arial Nova Light" w:cs="Arial"/>
          <w:sz w:val="24"/>
          <w:szCs w:val="24"/>
        </w:rPr>
        <w:t xml:space="preserve">suponer la titularidad de un derecho subjetivo afectado por el acto controvertido, es decir, que la autoridad responsable afecte de manera clara la esfera de derechos de quien activa el órgano jurisdiccional. </w:t>
      </w:r>
    </w:p>
    <w:p w14:paraId="400A5FB5" w14:textId="69068AFA" w:rsidR="00DD09F0" w:rsidRPr="004640F5" w:rsidRDefault="00DD09F0"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3B0E8C10" w14:textId="45236D98" w:rsidR="00DD09F0" w:rsidRPr="004640F5" w:rsidRDefault="0043089B"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4640F5">
        <w:rPr>
          <w:rFonts w:ascii="Arial Nova Light" w:eastAsia="Arial Nova" w:hAnsi="Arial Nova Light" w:cs="Arial"/>
          <w:sz w:val="24"/>
          <w:szCs w:val="24"/>
        </w:rPr>
        <w:t>Por otra parte, el interés legítimo</w:t>
      </w:r>
      <w:r w:rsidR="00EE3646" w:rsidRPr="004640F5">
        <w:rPr>
          <w:rStyle w:val="Refdenotaalpie"/>
          <w:rFonts w:ascii="Arial Nova Light" w:eastAsia="Arial Nova" w:hAnsi="Arial Nova Light" w:cs="Arial"/>
          <w:sz w:val="24"/>
          <w:szCs w:val="24"/>
        </w:rPr>
        <w:footnoteReference w:id="10"/>
      </w:r>
      <w:r w:rsidRPr="004640F5">
        <w:rPr>
          <w:rFonts w:ascii="Arial Nova Light" w:eastAsia="Arial Nova" w:hAnsi="Arial Nova Light" w:cs="Arial"/>
          <w:sz w:val="24"/>
          <w:szCs w:val="24"/>
        </w:rPr>
        <w:t xml:space="preserve"> </w:t>
      </w:r>
      <w:r w:rsidR="00F82F3F" w:rsidRPr="004640F5">
        <w:rPr>
          <w:rFonts w:ascii="Arial Nova Light" w:eastAsia="Arial Nova" w:hAnsi="Arial Nova Light" w:cs="Arial"/>
          <w:sz w:val="24"/>
          <w:szCs w:val="24"/>
        </w:rPr>
        <w:t>no se asocia a la existencia de un derecho subjetivo, pero sí a la tutela jurídica que corresponda a la "especial situación frente al orden jurídico”, de tal suerte que alguna norma puede establecer un interés difuso en beneficio de una colectividad o grupo al que pertenezca el agraviado</w:t>
      </w:r>
      <w:r w:rsidR="00F82F3F" w:rsidRPr="004640F5">
        <w:rPr>
          <w:rStyle w:val="Refdenotaalpie"/>
          <w:rFonts w:ascii="Arial Nova Light" w:eastAsia="Arial Nova" w:hAnsi="Arial Nova Light" w:cs="Arial"/>
          <w:sz w:val="24"/>
          <w:szCs w:val="24"/>
        </w:rPr>
        <w:footnoteReference w:id="11"/>
      </w:r>
      <w:r w:rsidR="00F82F3F" w:rsidRPr="004640F5">
        <w:rPr>
          <w:rFonts w:ascii="Arial Nova Light" w:eastAsia="Arial Nova" w:hAnsi="Arial Nova Light" w:cs="Arial"/>
          <w:sz w:val="24"/>
          <w:szCs w:val="24"/>
        </w:rPr>
        <w:t>.</w:t>
      </w:r>
    </w:p>
    <w:p w14:paraId="7B303B1A" w14:textId="04586151" w:rsidR="00AA711A" w:rsidRPr="004640F5"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3F692E93" w14:textId="68708326" w:rsidR="00294777" w:rsidRPr="004640F5" w:rsidRDefault="00AA711A"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r w:rsidRPr="004640F5">
        <w:rPr>
          <w:rFonts w:ascii="Arial Nova Light" w:eastAsia="Arial Nova" w:hAnsi="Arial Nova Light" w:cs="Arial"/>
          <w:sz w:val="24"/>
          <w:szCs w:val="24"/>
        </w:rPr>
        <w:t>Además, la propia Sala Superior en el expediente SUP-REC-103/2021</w:t>
      </w:r>
      <w:r w:rsidR="0023590F" w:rsidRPr="004640F5">
        <w:rPr>
          <w:rStyle w:val="Refdenotaalpie"/>
          <w:rFonts w:ascii="Arial Nova Light" w:eastAsia="Arial Nova" w:hAnsi="Arial Nova Light" w:cs="Arial"/>
          <w:sz w:val="24"/>
          <w:szCs w:val="24"/>
        </w:rPr>
        <w:footnoteReference w:id="12"/>
      </w:r>
      <w:r w:rsidRPr="004640F5">
        <w:rPr>
          <w:rFonts w:ascii="Arial Nova Light" w:eastAsia="Arial Nova" w:hAnsi="Arial Nova Light" w:cs="Arial"/>
          <w:sz w:val="24"/>
          <w:szCs w:val="24"/>
        </w:rPr>
        <w:t>, señala que ha sido criterio que para probar el interés legítimo se debe acreditar que</w:t>
      </w:r>
      <w:r w:rsidRPr="004640F5">
        <w:rPr>
          <w:rFonts w:ascii="Arial Nova Light" w:hAnsi="Arial Nova Light" w:cs="Arial"/>
          <w:sz w:val="24"/>
          <w:szCs w:val="24"/>
          <w:shd w:val="clear" w:color="auto" w:fill="FFFFFF"/>
        </w:rPr>
        <w:t>: </w:t>
      </w:r>
    </w:p>
    <w:p w14:paraId="3F642F9B" w14:textId="77777777" w:rsidR="00294777" w:rsidRPr="004640F5" w:rsidRDefault="00294777"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p>
    <w:p w14:paraId="25926155" w14:textId="7BACB285" w:rsidR="00294777" w:rsidRPr="004640F5" w:rsidRDefault="00AA711A" w:rsidP="00294777">
      <w:pPr>
        <w:pStyle w:val="Prrafodelista"/>
        <w:numPr>
          <w:ilvl w:val="0"/>
          <w:numId w:val="8"/>
        </w:numPr>
        <w:pBdr>
          <w:top w:val="nil"/>
          <w:left w:val="nil"/>
          <w:bottom w:val="nil"/>
          <w:right w:val="nil"/>
          <w:between w:val="nil"/>
        </w:pBdr>
        <w:tabs>
          <w:tab w:val="left" w:pos="0"/>
        </w:tabs>
        <w:spacing w:after="0" w:line="360" w:lineRule="auto"/>
        <w:jc w:val="both"/>
        <w:rPr>
          <w:rFonts w:ascii="Arial Nova Light" w:hAnsi="Arial Nova Light" w:cs="Arial"/>
          <w:sz w:val="24"/>
          <w:szCs w:val="24"/>
          <w:shd w:val="clear" w:color="auto" w:fill="FFFFFF"/>
        </w:rPr>
      </w:pPr>
      <w:r w:rsidRPr="004640F5">
        <w:rPr>
          <w:rFonts w:ascii="Arial Nova Light" w:hAnsi="Arial Nova Light" w:cs="Arial"/>
          <w:sz w:val="24"/>
          <w:szCs w:val="24"/>
          <w:shd w:val="clear" w:color="auto" w:fill="FFFFFF"/>
        </w:rPr>
        <w:t>existe una norma en la que se establezca o tutele algún interés legítimo en beneficio de un derecho de una colectividad; </w:t>
      </w:r>
    </w:p>
    <w:p w14:paraId="060CBEC9" w14:textId="77777777" w:rsidR="00294777" w:rsidRPr="004640F5" w:rsidRDefault="00AA711A" w:rsidP="00294777">
      <w:pPr>
        <w:pStyle w:val="Prrafodelista"/>
        <w:numPr>
          <w:ilvl w:val="0"/>
          <w:numId w:val="8"/>
        </w:numPr>
        <w:pBdr>
          <w:top w:val="nil"/>
          <w:left w:val="nil"/>
          <w:bottom w:val="nil"/>
          <w:right w:val="nil"/>
          <w:between w:val="nil"/>
        </w:pBdr>
        <w:tabs>
          <w:tab w:val="left" w:pos="0"/>
        </w:tabs>
        <w:spacing w:after="0" w:line="360" w:lineRule="auto"/>
        <w:jc w:val="both"/>
        <w:rPr>
          <w:rFonts w:ascii="Arial Nova Light" w:hAnsi="Arial Nova Light" w:cs="Arial"/>
          <w:sz w:val="24"/>
          <w:szCs w:val="24"/>
          <w:shd w:val="clear" w:color="auto" w:fill="FFFFFF"/>
        </w:rPr>
      </w:pPr>
      <w:r w:rsidRPr="004640F5">
        <w:rPr>
          <w:rFonts w:ascii="Arial Nova Light" w:hAnsi="Arial Nova Light" w:cs="Arial"/>
          <w:sz w:val="24"/>
          <w:szCs w:val="24"/>
          <w:shd w:val="clear" w:color="auto" w:fill="FFFFFF"/>
        </w:rPr>
        <w:t>el acto reclamado transgrede ese interés legítimo, por la situación que guarda el ciudadano accionante frente al ordenamiento jurídico, ya sea de manera individual o colectiva y, </w:t>
      </w:r>
    </w:p>
    <w:p w14:paraId="0DB3EE48" w14:textId="124F44BD" w:rsidR="006017F4" w:rsidRPr="004640F5" w:rsidRDefault="00AA711A" w:rsidP="00294777">
      <w:pPr>
        <w:pStyle w:val="Prrafodelista"/>
        <w:numPr>
          <w:ilvl w:val="0"/>
          <w:numId w:val="8"/>
        </w:numPr>
        <w:pBdr>
          <w:top w:val="nil"/>
          <w:left w:val="nil"/>
          <w:bottom w:val="nil"/>
          <w:right w:val="nil"/>
          <w:between w:val="nil"/>
        </w:pBdr>
        <w:tabs>
          <w:tab w:val="left" w:pos="0"/>
        </w:tabs>
        <w:spacing w:after="0" w:line="360" w:lineRule="auto"/>
        <w:jc w:val="both"/>
        <w:rPr>
          <w:rFonts w:ascii="Arial Nova Light" w:hAnsi="Arial Nova Light" w:cs="Arial"/>
          <w:sz w:val="24"/>
          <w:szCs w:val="24"/>
          <w:shd w:val="clear" w:color="auto" w:fill="FFFFFF"/>
        </w:rPr>
      </w:pPr>
      <w:r w:rsidRPr="004640F5">
        <w:rPr>
          <w:rFonts w:ascii="Arial Nova Light" w:hAnsi="Arial Nova Light" w:cs="Arial"/>
          <w:sz w:val="24"/>
          <w:szCs w:val="24"/>
          <w:shd w:val="clear" w:color="auto" w:fill="FFFFFF"/>
        </w:rPr>
        <w:lastRenderedPageBreak/>
        <w:t>el promovente pertenece a esa colectividad.</w:t>
      </w:r>
    </w:p>
    <w:p w14:paraId="19A1E640" w14:textId="77777777" w:rsidR="006017F4" w:rsidRPr="004640F5" w:rsidRDefault="006017F4"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p>
    <w:p w14:paraId="24FDA4C5" w14:textId="77777777" w:rsidR="006017F4" w:rsidRPr="004640F5" w:rsidRDefault="006E4DB6"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r w:rsidRPr="004640F5">
        <w:rPr>
          <w:rFonts w:ascii="Arial Nova Light" w:hAnsi="Arial Nova Light" w:cs="Arial"/>
          <w:sz w:val="24"/>
          <w:szCs w:val="24"/>
        </w:rPr>
        <w:t>Ahora bien, en cuanto hace al interés simple</w:t>
      </w:r>
      <w:r w:rsidR="00121822" w:rsidRPr="004640F5">
        <w:rPr>
          <w:rStyle w:val="Refdenotaalpie"/>
          <w:rFonts w:ascii="Arial Nova Light" w:hAnsi="Arial Nova Light" w:cs="Arial"/>
          <w:sz w:val="24"/>
          <w:szCs w:val="24"/>
        </w:rPr>
        <w:footnoteReference w:id="13"/>
      </w:r>
      <w:r w:rsidRPr="004640F5">
        <w:rPr>
          <w:rFonts w:ascii="Arial Nova Light" w:hAnsi="Arial Nova Light" w:cs="Arial"/>
          <w:sz w:val="24"/>
          <w:szCs w:val="24"/>
        </w:rPr>
        <w:t>,</w:t>
      </w:r>
      <w:r w:rsidR="00A560D5" w:rsidRPr="004640F5">
        <w:rPr>
          <w:rFonts w:ascii="Arial Nova Light" w:hAnsi="Arial Nova Light" w:cs="Arial"/>
          <w:sz w:val="24"/>
          <w:szCs w:val="24"/>
        </w:rPr>
        <w:t xml:space="preserve"> este</w:t>
      </w:r>
      <w:r w:rsidRPr="004640F5">
        <w:rPr>
          <w:rFonts w:ascii="Arial Nova Light" w:hAnsi="Arial Nova Light" w:cs="Arial"/>
          <w:sz w:val="24"/>
          <w:szCs w:val="24"/>
        </w:rPr>
        <w:t xml:space="preserve"> </w:t>
      </w:r>
      <w:r w:rsidR="00A560D5" w:rsidRPr="004640F5">
        <w:rPr>
          <w:rFonts w:ascii="Arial Nova Light" w:hAnsi="Arial Nova Light" w:cs="Arial"/>
          <w:sz w:val="24"/>
          <w:szCs w:val="24"/>
        </w:rPr>
        <w:t>se entiende “como el que puede tener cualquier persona por alguna acción u omisión del Estado pero que, en caso de satisfacerse, no se traducirá en un beneficio personal para el interesado”.</w:t>
      </w:r>
      <w:r w:rsidR="00A560D5" w:rsidRPr="004640F5">
        <w:rPr>
          <w:rStyle w:val="Refdenotaalpie"/>
          <w:rFonts w:ascii="Arial Nova Light" w:hAnsi="Arial Nova Light" w:cs="Arial"/>
          <w:sz w:val="24"/>
          <w:szCs w:val="24"/>
        </w:rPr>
        <w:footnoteReference w:id="14"/>
      </w:r>
      <w:r w:rsidR="00A560D5" w:rsidRPr="004640F5">
        <w:rPr>
          <w:rFonts w:ascii="Arial Nova Light" w:hAnsi="Arial Nova Light" w:cs="Arial"/>
          <w:sz w:val="24"/>
          <w:szCs w:val="24"/>
        </w:rPr>
        <w:t xml:space="preserve">  </w:t>
      </w:r>
    </w:p>
    <w:p w14:paraId="6A596B08" w14:textId="77777777" w:rsidR="006017F4" w:rsidRPr="004640F5" w:rsidRDefault="006017F4"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p>
    <w:p w14:paraId="7DB5F20D" w14:textId="77777777" w:rsidR="006017F4" w:rsidRPr="004640F5" w:rsidRDefault="007815DE"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r w:rsidRPr="004640F5">
        <w:rPr>
          <w:rFonts w:ascii="Arial Nova Light" w:hAnsi="Arial Nova Light" w:cs="Arial"/>
          <w:sz w:val="24"/>
          <w:szCs w:val="24"/>
        </w:rPr>
        <w:t xml:space="preserve">Tampoco se advierte que el actor se encuentre en una situación relevante que lo ponga en una posición especial o cualificada frente al ordenamiento jurídico; de manera que </w:t>
      </w:r>
      <w:r w:rsidR="00CB7D34" w:rsidRPr="004640F5">
        <w:rPr>
          <w:rFonts w:ascii="Arial Nova Light" w:hAnsi="Arial Nova Light" w:cs="Arial"/>
          <w:sz w:val="24"/>
          <w:szCs w:val="24"/>
        </w:rPr>
        <w:t xml:space="preserve">los lineamientos solicitados o la aplicación del artículo de referencia le afecten o </w:t>
      </w:r>
      <w:r w:rsidRPr="004640F5">
        <w:rPr>
          <w:rFonts w:ascii="Arial Nova Light" w:hAnsi="Arial Nova Light" w:cs="Arial"/>
          <w:sz w:val="24"/>
          <w:szCs w:val="24"/>
        </w:rPr>
        <w:t>le redunde</w:t>
      </w:r>
      <w:r w:rsidR="00121822" w:rsidRPr="004640F5">
        <w:rPr>
          <w:rFonts w:ascii="Arial Nova Light" w:hAnsi="Arial Nova Light" w:cs="Arial"/>
          <w:sz w:val="24"/>
          <w:szCs w:val="24"/>
        </w:rPr>
        <w:t>n</w:t>
      </w:r>
      <w:r w:rsidRPr="004640F5">
        <w:rPr>
          <w:rFonts w:ascii="Arial Nova Light" w:hAnsi="Arial Nova Light" w:cs="Arial"/>
          <w:sz w:val="24"/>
          <w:szCs w:val="24"/>
        </w:rPr>
        <w:t xml:space="preserve"> en un beneficio asociado con sus derechos político-electorales.</w:t>
      </w:r>
    </w:p>
    <w:p w14:paraId="3F036B58" w14:textId="77777777" w:rsidR="006017F4" w:rsidRPr="004640F5" w:rsidRDefault="006017F4"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p>
    <w:p w14:paraId="77E69AE1" w14:textId="5D8439C2" w:rsidR="001C00CA" w:rsidRPr="004640F5" w:rsidRDefault="001C00CA"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lang w:bidi="en-US"/>
        </w:rPr>
      </w:pPr>
      <w:r w:rsidRPr="004640F5">
        <w:rPr>
          <w:rFonts w:ascii="Arial Nova Light" w:hAnsi="Arial Nova Light"/>
          <w:sz w:val="24"/>
          <w:szCs w:val="24"/>
        </w:rPr>
        <w:t xml:space="preserve">Así, </w:t>
      </w:r>
      <w:r w:rsidRPr="004640F5">
        <w:rPr>
          <w:rFonts w:ascii="Arial Nova Light" w:hAnsi="Arial Nova Light" w:cs="Arial"/>
          <w:sz w:val="24"/>
          <w:szCs w:val="24"/>
          <w:lang w:bidi="en-US"/>
        </w:rPr>
        <w:t xml:space="preserve">es necesario definir en qué momento existe un acto de aplicación para determinar quienes se encuentran legitimados para cuestionar una norma mediante cualquier mecanismo de defensa que sea procedente. Lo anterior, ya que si se trata de un control difuso de constitucionalidad este Tribunal local puede realizarlo siempre y cuando la norma cuestionada afecte a la o el recurrente. </w:t>
      </w:r>
    </w:p>
    <w:p w14:paraId="34A8A703" w14:textId="77777777" w:rsidR="00796EBB" w:rsidRPr="004640F5" w:rsidRDefault="00796EBB" w:rsidP="006017F4">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7EBE9462" w14:textId="5452AE4F" w:rsidR="001C00CA" w:rsidRPr="004640F5" w:rsidRDefault="00CD3066" w:rsidP="005B6952">
      <w:pPr>
        <w:spacing w:line="360" w:lineRule="auto"/>
        <w:jc w:val="both"/>
        <w:rPr>
          <w:rFonts w:ascii="Arial Nova Light" w:hAnsi="Arial Nova Light" w:cs="Arial"/>
          <w:b/>
          <w:bCs/>
          <w:sz w:val="24"/>
          <w:szCs w:val="24"/>
          <w:lang w:bidi="en-US"/>
        </w:rPr>
      </w:pPr>
      <w:r w:rsidRPr="004640F5">
        <w:rPr>
          <w:rFonts w:ascii="Arial Nova Light" w:hAnsi="Arial Nova Light" w:cs="Arial"/>
          <w:sz w:val="24"/>
          <w:szCs w:val="24"/>
          <w:lang w:bidi="en-US"/>
        </w:rPr>
        <w:t xml:space="preserve">Sin embargo, aplicable al caso que nos ocupa, la SCJN emitió criterio jurisprudencial a fin de distinguir las normas </w:t>
      </w:r>
      <w:r w:rsidRPr="004640F5">
        <w:rPr>
          <w:rFonts w:ascii="Arial Nova Light" w:hAnsi="Arial Nova Light" w:cs="Arial"/>
          <w:b/>
          <w:bCs/>
          <w:sz w:val="24"/>
          <w:szCs w:val="24"/>
          <w:lang w:bidi="en-US"/>
        </w:rPr>
        <w:t xml:space="preserve">autoaplicativas </w:t>
      </w:r>
      <w:r w:rsidRPr="004640F5">
        <w:rPr>
          <w:rFonts w:ascii="Arial Nova Light" w:hAnsi="Arial Nova Light" w:cs="Arial"/>
          <w:sz w:val="24"/>
          <w:szCs w:val="24"/>
          <w:lang w:bidi="en-US"/>
        </w:rPr>
        <w:t xml:space="preserve">y </w:t>
      </w:r>
      <w:r w:rsidRPr="004640F5">
        <w:rPr>
          <w:rFonts w:ascii="Arial Nova Light" w:hAnsi="Arial Nova Light" w:cs="Arial"/>
          <w:b/>
          <w:bCs/>
          <w:sz w:val="24"/>
          <w:szCs w:val="24"/>
          <w:lang w:bidi="en-US"/>
        </w:rPr>
        <w:t>heteroaplicativas,</w:t>
      </w:r>
      <w:r w:rsidRPr="004640F5">
        <w:rPr>
          <w:rStyle w:val="Refdenotaalpie"/>
          <w:rFonts w:ascii="Arial Nova Light" w:hAnsi="Arial Nova Light" w:cs="Arial"/>
          <w:sz w:val="24"/>
          <w:szCs w:val="24"/>
          <w:lang w:bidi="en-US"/>
        </w:rPr>
        <w:footnoteReference w:id="15"/>
      </w:r>
      <w:r w:rsidRPr="004640F5">
        <w:rPr>
          <w:rFonts w:ascii="Arial Nova Light" w:hAnsi="Arial Nova Light" w:cs="Arial"/>
          <w:b/>
          <w:bCs/>
          <w:sz w:val="24"/>
          <w:szCs w:val="24"/>
          <w:lang w:bidi="en-US"/>
        </w:rPr>
        <w:t xml:space="preserve"> en donde define el momento en el que una norma genera una afectación. </w:t>
      </w:r>
    </w:p>
    <w:p w14:paraId="6E81560D" w14:textId="77777777" w:rsidR="00CD3066" w:rsidRPr="004640F5" w:rsidRDefault="00CD3066" w:rsidP="005B6952">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lang w:bidi="en-US"/>
        </w:rPr>
        <w:t xml:space="preserve">En cuanto a las primeras, son aquellas que por su sola entrada en vigor causan una afectación a la esfera de derechos de la o el gobernado, al generar una modificación, creación o extinción de ciertas situaciones jurídicas. Por otra parte, las normas heteroaplicativas son aquellas que requieren de un acto que condicione su aplicación ya sea por una autoridad administrativa o jurisdiccional, con el propósito de que sea posible demostrar la aplicación de tal norma al caso concreto. </w:t>
      </w:r>
    </w:p>
    <w:p w14:paraId="72CF193F" w14:textId="77777777" w:rsidR="00CD3066" w:rsidRPr="004640F5" w:rsidRDefault="00CD3066" w:rsidP="005B6952">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lang w:bidi="en-US"/>
        </w:rPr>
        <w:t>De ahí que los alcances de las normas autoaplicativas y heteroaplicativas pueden ser identificados a partir del acto de aplicación, pues este se requiere para que una norma general adquiera la individualización que actualice un perjuicio a la o el gobernado, y que solo así, se encuentre legitimado para cuestionar la inconstitucionalidad de la norma.</w:t>
      </w:r>
    </w:p>
    <w:p w14:paraId="0E087D1A" w14:textId="77777777" w:rsidR="00CD3066" w:rsidRPr="004640F5" w:rsidRDefault="00CD3066" w:rsidP="005B6952">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lang w:bidi="en-US"/>
        </w:rPr>
        <w:lastRenderedPageBreak/>
        <w:t xml:space="preserve">Este criterio no tiene como objetivo limitar el concepto de un acto de aplicación, sino tiene el propósito de establecer de forma objetiva ciertos parámetros que permitan identificar si en un supuesto específico una norma es aplicada y, por tanto, afecta de forma particular y concreta a la y el gobernado. </w:t>
      </w:r>
    </w:p>
    <w:p w14:paraId="1379B01A" w14:textId="77777777" w:rsidR="001A3EA3" w:rsidRPr="004640F5" w:rsidRDefault="0089051A" w:rsidP="001A3EA3">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lang w:bidi="en-US"/>
        </w:rPr>
        <w:t xml:space="preserve">De tal suerte que el derecho de acción se encuentra reservado para quien demuestre una afectación en sus derechos con motivo de un acto de autoridad, esto es, siempre y cuando la intervención de la autoridad jurisdiccional sea necesaria para conseguir la reparación que se cuestiona. Caso contrario, de no cumplirse tales condiciones, el juicio es improcedente y, por tanto, la demanda debe desecharse de plano. </w:t>
      </w:r>
      <w:r w:rsidR="001A3EA3" w:rsidRPr="004640F5">
        <w:rPr>
          <w:rFonts w:ascii="Arial Nova Light" w:hAnsi="Arial Nova Light" w:cs="Arial"/>
          <w:sz w:val="24"/>
          <w:szCs w:val="24"/>
          <w:lang w:bidi="en-US"/>
        </w:rPr>
        <w:t xml:space="preserve"> </w:t>
      </w:r>
    </w:p>
    <w:p w14:paraId="1A81F279" w14:textId="5F8F31E3" w:rsidR="00EF5D64" w:rsidRPr="004640F5" w:rsidRDefault="0089051A" w:rsidP="001A3EA3">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lang w:bidi="en-US"/>
        </w:rPr>
        <w:t>D</w:t>
      </w:r>
      <w:r w:rsidR="00EF5D64" w:rsidRPr="004640F5">
        <w:rPr>
          <w:rFonts w:ascii="Arial Nova Light" w:hAnsi="Arial Nova Light"/>
          <w:sz w:val="24"/>
          <w:szCs w:val="24"/>
        </w:rPr>
        <w:t>e ahí que, la pretensión del promovente busca ir en contravención de lo señalado por una norma sin que exista un precepto legal que permita a este Tribunal analizar el fondo de tal intención del actor</w:t>
      </w:r>
      <w:r w:rsidR="00EF5D64" w:rsidRPr="004640F5">
        <w:rPr>
          <w:rStyle w:val="Refdenotaalpie"/>
          <w:rFonts w:ascii="Arial Nova Light" w:hAnsi="Arial Nova Light"/>
          <w:sz w:val="24"/>
          <w:szCs w:val="24"/>
        </w:rPr>
        <w:footnoteReference w:id="16"/>
      </w:r>
      <w:r w:rsidR="00EF5D64" w:rsidRPr="004640F5">
        <w:rPr>
          <w:rFonts w:ascii="Arial Nova Light" w:hAnsi="Arial Nova Light"/>
          <w:sz w:val="24"/>
          <w:szCs w:val="24"/>
        </w:rPr>
        <w:t xml:space="preserve">. </w:t>
      </w:r>
    </w:p>
    <w:p w14:paraId="5FF31AC7" w14:textId="6912D6C9" w:rsidR="00204C8C" w:rsidRPr="004640F5" w:rsidRDefault="002226C6" w:rsidP="005B6952">
      <w:pPr>
        <w:tabs>
          <w:tab w:val="left" w:pos="4495"/>
        </w:tabs>
        <w:spacing w:line="360" w:lineRule="auto"/>
        <w:jc w:val="both"/>
        <w:rPr>
          <w:rFonts w:ascii="Arial Nova Light" w:hAnsi="Arial Nova Light" w:cs="Arial"/>
          <w:sz w:val="24"/>
          <w:szCs w:val="24"/>
        </w:rPr>
      </w:pPr>
      <w:r w:rsidRPr="004640F5">
        <w:rPr>
          <w:rFonts w:ascii="Arial Nova Light" w:hAnsi="Arial Nova Light" w:cs="Arial"/>
          <w:sz w:val="24"/>
          <w:szCs w:val="24"/>
        </w:rPr>
        <w:t xml:space="preserve">De manera que, </w:t>
      </w:r>
      <w:r w:rsidR="0046432B" w:rsidRPr="004640F5">
        <w:rPr>
          <w:rFonts w:ascii="Arial Nova Light" w:hAnsi="Arial Nova Light" w:cs="Arial"/>
          <w:sz w:val="24"/>
          <w:szCs w:val="24"/>
        </w:rPr>
        <w:t xml:space="preserve">lo que el actor pretende esta basado en una hipótesis normativa de la cual no es destinatario, cuya constitucionalidad está cuestionando, </w:t>
      </w:r>
      <w:r w:rsidR="0055456C" w:rsidRPr="004640F5">
        <w:rPr>
          <w:rFonts w:ascii="Arial Nova Light" w:hAnsi="Arial Nova Light" w:cs="Arial"/>
          <w:sz w:val="24"/>
          <w:szCs w:val="24"/>
        </w:rPr>
        <w:t xml:space="preserve">por lo que se advierte que no hay un acto de aplicación, ni una afectación a su esfera de derechos. </w:t>
      </w:r>
    </w:p>
    <w:p w14:paraId="643CA6F2" w14:textId="6DBA4DC9" w:rsidR="00C55EEA" w:rsidRPr="004640F5" w:rsidRDefault="00C55EEA" w:rsidP="005B6952">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rPr>
        <w:t xml:space="preserve">Así, </w:t>
      </w:r>
      <w:r w:rsidRPr="004640F5">
        <w:rPr>
          <w:rFonts w:ascii="Arial Nova Light" w:hAnsi="Arial Nova Light" w:cs="Arial"/>
          <w:sz w:val="24"/>
          <w:szCs w:val="24"/>
          <w:lang w:bidi="en-US"/>
        </w:rPr>
        <w:t xml:space="preserve">el promovente </w:t>
      </w:r>
      <w:r w:rsidRPr="004640F5">
        <w:rPr>
          <w:rFonts w:ascii="Arial Nova Light" w:hAnsi="Arial Nova Light" w:cs="Arial"/>
          <w:b/>
          <w:bCs/>
          <w:sz w:val="24"/>
          <w:szCs w:val="24"/>
          <w:lang w:bidi="en-US"/>
        </w:rPr>
        <w:t xml:space="preserve">carece de interés jurídico </w:t>
      </w:r>
      <w:r w:rsidRPr="004640F5">
        <w:rPr>
          <w:rFonts w:ascii="Arial Nova Light" w:hAnsi="Arial Nova Light" w:cs="Arial"/>
          <w:sz w:val="24"/>
          <w:szCs w:val="24"/>
          <w:lang w:bidi="en-US"/>
        </w:rPr>
        <w:t xml:space="preserve">para controvertir la resolución impugnada, ya que no se advierte que le genere alguna afectación individualizada, cierta e inmediata, porque la disposición normativa cuestionada está dirigida específicamente a quienes ostenten una diputación local y, a su vez, aspiren a la reelección y no a la ciudadanía en general. </w:t>
      </w:r>
    </w:p>
    <w:p w14:paraId="05DD847C" w14:textId="22A5A167" w:rsidR="00C55EEA" w:rsidRPr="004640F5" w:rsidRDefault="00C55EEA" w:rsidP="005B6952">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lang w:bidi="en-US"/>
        </w:rPr>
        <w:t>De ahí que el actor no comprobó calidad alguna que demostrara que la referida respuesta de la autoridad responsable que se fundó en tal artículo del Código Electoral le cause alguna afectación, pues para que ello suceda es necesario que se demuestre un acto de aplicación de la norma</w:t>
      </w:r>
      <w:r w:rsidR="006017F4" w:rsidRPr="004640F5">
        <w:rPr>
          <w:rFonts w:ascii="Arial Nova Light" w:hAnsi="Arial Nova Light" w:cs="Arial"/>
          <w:sz w:val="24"/>
          <w:szCs w:val="24"/>
          <w:lang w:bidi="en-US"/>
        </w:rPr>
        <w:t>.</w:t>
      </w:r>
      <w:r w:rsidRPr="004640F5">
        <w:rPr>
          <w:rFonts w:ascii="Arial Nova Light" w:hAnsi="Arial Nova Light" w:cs="Arial"/>
          <w:sz w:val="24"/>
          <w:szCs w:val="24"/>
          <w:lang w:bidi="en-US"/>
        </w:rPr>
        <w:t xml:space="preserve"> </w:t>
      </w:r>
    </w:p>
    <w:p w14:paraId="39FF2454" w14:textId="77777777" w:rsidR="00C55EEA" w:rsidRPr="004640F5" w:rsidRDefault="00C55EEA" w:rsidP="005B6952">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lang w:bidi="en-US"/>
        </w:rPr>
        <w:t>Lo anterior es así, porque el interés jurídico en materia electoral se acredita siempre y cuando el acto o resolución impugnado incida de forma clara en los derechos de quien acude al proceso, y solo de esta manera se puede llegar a demostrar en un juicio que la afectación del derecho del que se afirma ser titular es ilegal, con la posibilidad de poder restituir el reconocimiento de tal prerrogativa vulnerada.</w:t>
      </w:r>
      <w:r w:rsidRPr="004640F5">
        <w:rPr>
          <w:rStyle w:val="Refdenotaalpie"/>
          <w:rFonts w:ascii="Arial Nova Light" w:hAnsi="Arial Nova Light" w:cs="Arial"/>
          <w:sz w:val="24"/>
          <w:szCs w:val="24"/>
          <w:lang w:bidi="en-US"/>
        </w:rPr>
        <w:footnoteReference w:id="17"/>
      </w:r>
      <w:r w:rsidRPr="004640F5">
        <w:rPr>
          <w:rFonts w:ascii="Arial Nova Light" w:hAnsi="Arial Nova Light" w:cs="Arial"/>
          <w:sz w:val="24"/>
          <w:szCs w:val="24"/>
          <w:lang w:bidi="en-US"/>
        </w:rPr>
        <w:t xml:space="preserve"> </w:t>
      </w:r>
    </w:p>
    <w:p w14:paraId="3D11D764" w14:textId="77777777" w:rsidR="00374257" w:rsidRPr="004640F5" w:rsidRDefault="00374257" w:rsidP="005B6952">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lang w:bidi="en-US"/>
        </w:rPr>
        <w:t xml:space="preserve">Por otra parte, se estima que el actor tampoco tiene un </w:t>
      </w:r>
      <w:r w:rsidRPr="004640F5">
        <w:rPr>
          <w:rFonts w:ascii="Arial Nova Light" w:hAnsi="Arial Nova Light" w:cs="Arial"/>
          <w:b/>
          <w:bCs/>
          <w:sz w:val="24"/>
          <w:szCs w:val="24"/>
          <w:lang w:bidi="en-US"/>
        </w:rPr>
        <w:t>interés legítimo</w:t>
      </w:r>
      <w:r w:rsidRPr="004640F5">
        <w:rPr>
          <w:rFonts w:ascii="Arial Nova Light" w:hAnsi="Arial Nova Light" w:cs="Arial"/>
          <w:sz w:val="24"/>
          <w:szCs w:val="24"/>
          <w:lang w:bidi="en-US"/>
        </w:rPr>
        <w:t xml:space="preserve"> para controvertir el oficio impugnado que se fundamenta en una norma que no le es aplicable, por el hecho de que tal permisión no está dirigida a la ciudadanía en lo individual, sino que se debe observar </w:t>
      </w:r>
      <w:r w:rsidRPr="004640F5">
        <w:rPr>
          <w:rFonts w:ascii="Arial Nova Light" w:hAnsi="Arial Nova Light" w:cs="Arial"/>
          <w:sz w:val="24"/>
          <w:szCs w:val="24"/>
          <w:lang w:bidi="en-US"/>
        </w:rPr>
        <w:lastRenderedPageBreak/>
        <w:t xml:space="preserve">alguna calidad específica del sujeto que cuestiona tal posibilidad para que sea posible analizar el posible interés que tendría al respecto. </w:t>
      </w:r>
    </w:p>
    <w:p w14:paraId="7080D930" w14:textId="451BE845" w:rsidR="00374257" w:rsidRPr="004640F5" w:rsidRDefault="00374257" w:rsidP="005B6952">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lang w:bidi="en-US"/>
        </w:rPr>
        <w:t xml:space="preserve">Lo anterior se debe a </w:t>
      </w:r>
      <w:r w:rsidR="00D43398" w:rsidRPr="004640F5">
        <w:rPr>
          <w:rFonts w:ascii="Arial Nova Light" w:hAnsi="Arial Nova Light" w:cs="Arial"/>
          <w:sz w:val="24"/>
          <w:szCs w:val="24"/>
          <w:lang w:bidi="en-US"/>
        </w:rPr>
        <w:t>que,</w:t>
      </w:r>
      <w:r w:rsidRPr="004640F5">
        <w:rPr>
          <w:rFonts w:ascii="Arial Nova Light" w:hAnsi="Arial Nova Light" w:cs="Arial"/>
          <w:sz w:val="24"/>
          <w:szCs w:val="24"/>
          <w:lang w:bidi="en-US"/>
        </w:rPr>
        <w:t xml:space="preserve"> si bien existe una permisión para ejercer el derecho a la reelección por el mismo distrito o uno distinto, ello no basta para que el actor por su propio derecho cuestione tal posibilidad, sino que es necesario que tenga un carácter distinto o especial con el objetivo de demostrar que, por estar en tales condiciones, </w:t>
      </w:r>
      <w:r w:rsidR="00073FE5" w:rsidRPr="004640F5">
        <w:rPr>
          <w:rFonts w:ascii="Arial Nova Light" w:hAnsi="Arial Nova Light" w:cs="Arial"/>
          <w:sz w:val="24"/>
          <w:szCs w:val="24"/>
          <w:lang w:bidi="en-US"/>
        </w:rPr>
        <w:t>se pueda</w:t>
      </w:r>
      <w:r w:rsidRPr="004640F5">
        <w:rPr>
          <w:rFonts w:ascii="Arial Nova Light" w:hAnsi="Arial Nova Light" w:cs="Arial"/>
          <w:sz w:val="24"/>
          <w:szCs w:val="24"/>
          <w:lang w:bidi="en-US"/>
        </w:rPr>
        <w:t xml:space="preserve"> advertir una presunta vulneración a algún derecho. </w:t>
      </w:r>
    </w:p>
    <w:p w14:paraId="5AAA7229" w14:textId="4E6B69F7" w:rsidR="00796EBB" w:rsidRPr="004640F5" w:rsidRDefault="00E72A70" w:rsidP="005B6952">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lang w:bidi="en-US"/>
        </w:rPr>
        <w:t xml:space="preserve">En ese entendimiento, </w:t>
      </w:r>
      <w:r w:rsidR="00144ACB" w:rsidRPr="004640F5">
        <w:rPr>
          <w:rFonts w:ascii="Arial Nova Light" w:hAnsi="Arial Nova Light" w:cs="Arial"/>
          <w:sz w:val="24"/>
          <w:szCs w:val="24"/>
          <w:lang w:bidi="en-US"/>
        </w:rPr>
        <w:t xml:space="preserve">tal como lo estableció </w:t>
      </w:r>
      <w:r w:rsidRPr="004640F5">
        <w:rPr>
          <w:rFonts w:ascii="Arial Nova Light" w:hAnsi="Arial Nova Light" w:cs="Arial"/>
          <w:sz w:val="24"/>
          <w:szCs w:val="24"/>
          <w:lang w:bidi="en-US"/>
        </w:rPr>
        <w:t>Sala Monterrey</w:t>
      </w:r>
      <w:r w:rsidRPr="004640F5">
        <w:rPr>
          <w:rStyle w:val="Refdenotaalpie"/>
          <w:rFonts w:ascii="Arial Nova Light" w:hAnsi="Arial Nova Light" w:cs="Arial"/>
          <w:sz w:val="24"/>
          <w:szCs w:val="24"/>
          <w:lang w:bidi="en-US"/>
        </w:rPr>
        <w:footnoteReference w:id="18"/>
      </w:r>
      <w:r w:rsidR="00144ACB" w:rsidRPr="004640F5">
        <w:rPr>
          <w:rFonts w:ascii="Arial Nova Light" w:hAnsi="Arial Nova Light" w:cs="Arial"/>
          <w:sz w:val="24"/>
          <w:szCs w:val="24"/>
          <w:lang w:bidi="en-US"/>
        </w:rPr>
        <w:t xml:space="preserve">, en el asunto que nos ocupa, </w:t>
      </w:r>
      <w:r w:rsidRPr="004640F5">
        <w:rPr>
          <w:rFonts w:ascii="Arial Nova Light" w:hAnsi="Arial Nova Light"/>
          <w:sz w:val="24"/>
          <w:szCs w:val="24"/>
        </w:rPr>
        <w:t>aun cuando el actor señala que el precepto normativo del cual pretende su declaración de inconstitucionalidad vulnera su derecho de poder refrendar o no su voto sobre aquellas diputaciones que pretendan reelegirse por un distrito diverso a aquel por el cual fueron electos en primer término, lo cierto es que no manifiesta -ni de autos se advierte- un perjuicio real y directo a su esfera jurídica que posibilitara al órgano de jurisdiccional restituirlo en el goce de este u otro derecho vulnerado o hacer factible su ejercicio</w:t>
      </w:r>
    </w:p>
    <w:p w14:paraId="1A18F9AE" w14:textId="57CCACA3" w:rsidR="00374257" w:rsidRPr="004640F5" w:rsidRDefault="00374257" w:rsidP="005B6952">
      <w:pPr>
        <w:spacing w:line="360" w:lineRule="auto"/>
        <w:jc w:val="both"/>
        <w:rPr>
          <w:rFonts w:ascii="Arial Nova Light" w:hAnsi="Arial Nova Light" w:cs="Arial"/>
          <w:sz w:val="24"/>
          <w:szCs w:val="24"/>
          <w:lang w:bidi="en-US"/>
        </w:rPr>
      </w:pPr>
      <w:r w:rsidRPr="004640F5">
        <w:rPr>
          <w:rFonts w:ascii="Arial Nova Light" w:hAnsi="Arial Nova Light" w:cs="Arial"/>
          <w:sz w:val="24"/>
          <w:szCs w:val="24"/>
          <w:lang w:bidi="en-US"/>
        </w:rPr>
        <w:t xml:space="preserve">Así, </w:t>
      </w:r>
      <w:r w:rsidR="00073FE5" w:rsidRPr="004640F5">
        <w:rPr>
          <w:rFonts w:ascii="Arial Nova Light" w:hAnsi="Arial Nova Light" w:cs="Arial"/>
          <w:sz w:val="24"/>
          <w:szCs w:val="24"/>
          <w:lang w:bidi="en-US"/>
        </w:rPr>
        <w:t>se concluye</w:t>
      </w:r>
      <w:r w:rsidRPr="004640F5">
        <w:rPr>
          <w:rFonts w:ascii="Arial Nova Light" w:hAnsi="Arial Nova Light" w:cs="Arial"/>
          <w:sz w:val="24"/>
          <w:szCs w:val="24"/>
          <w:lang w:bidi="en-US"/>
        </w:rPr>
        <w:t xml:space="preserve"> que el actor </w:t>
      </w:r>
      <w:r w:rsidRPr="004640F5">
        <w:rPr>
          <w:rFonts w:ascii="Arial Nova Light" w:hAnsi="Arial Nova Light" w:cs="Arial"/>
          <w:b/>
          <w:bCs/>
          <w:sz w:val="24"/>
          <w:szCs w:val="24"/>
          <w:lang w:bidi="en-US"/>
        </w:rPr>
        <w:t>carece tanto de interés jurídico</w:t>
      </w:r>
      <w:r w:rsidRPr="004640F5">
        <w:rPr>
          <w:rFonts w:ascii="Arial Nova Light" w:hAnsi="Arial Nova Light" w:cs="Arial"/>
          <w:sz w:val="24"/>
          <w:szCs w:val="24"/>
          <w:lang w:bidi="en-US"/>
        </w:rPr>
        <w:t xml:space="preserve"> para controvertir </w:t>
      </w:r>
      <w:r w:rsidR="002E5F20" w:rsidRPr="004640F5">
        <w:rPr>
          <w:rFonts w:ascii="Arial Nova Light" w:hAnsi="Arial Nova Light" w:cs="Arial"/>
          <w:sz w:val="24"/>
          <w:szCs w:val="24"/>
          <w:lang w:bidi="en-US"/>
        </w:rPr>
        <w:t xml:space="preserve">la constitucionalidad del artículo 156 A del Código Electoral referido por la autoridad responsable </w:t>
      </w:r>
      <w:r w:rsidR="00617197" w:rsidRPr="004640F5">
        <w:rPr>
          <w:rFonts w:ascii="Arial Nova Light" w:hAnsi="Arial Nova Light" w:cs="Arial"/>
          <w:sz w:val="24"/>
          <w:szCs w:val="24"/>
          <w:lang w:bidi="en-US"/>
        </w:rPr>
        <w:t>en la respuesta a la consulta hecha por el promovente</w:t>
      </w:r>
      <w:r w:rsidRPr="004640F5">
        <w:rPr>
          <w:rFonts w:ascii="Arial Nova Light" w:hAnsi="Arial Nova Light" w:cs="Arial"/>
          <w:sz w:val="24"/>
          <w:szCs w:val="24"/>
          <w:lang w:bidi="en-US"/>
        </w:rPr>
        <w:t xml:space="preserve"> al no existir un acto específico que le genere una afectación directa e individual, </w:t>
      </w:r>
      <w:r w:rsidRPr="004640F5">
        <w:rPr>
          <w:rFonts w:ascii="Arial Nova Light" w:hAnsi="Arial Nova Light" w:cs="Arial"/>
          <w:b/>
          <w:bCs/>
          <w:sz w:val="24"/>
          <w:szCs w:val="24"/>
          <w:lang w:bidi="en-US"/>
        </w:rPr>
        <w:t>como también carece de interés legítimo</w:t>
      </w:r>
      <w:r w:rsidRPr="004640F5">
        <w:rPr>
          <w:rFonts w:ascii="Arial Nova Light" w:hAnsi="Arial Nova Light" w:cs="Arial"/>
          <w:sz w:val="24"/>
          <w:szCs w:val="24"/>
          <w:lang w:bidi="en-US"/>
        </w:rPr>
        <w:t xml:space="preserve"> para alegar una afectación futura e incierta a la ciudadanía en general, pues su agravio no surge de una situación en particular regulada por el orden jurídico. </w:t>
      </w:r>
    </w:p>
    <w:p w14:paraId="08BD8351" w14:textId="4BC86F63" w:rsidR="0064662C" w:rsidRPr="004640F5" w:rsidRDefault="006907FE" w:rsidP="005B6952">
      <w:pPr>
        <w:tabs>
          <w:tab w:val="left" w:pos="4495"/>
        </w:tabs>
        <w:spacing w:line="360" w:lineRule="auto"/>
        <w:jc w:val="both"/>
        <w:rPr>
          <w:rFonts w:ascii="Arial Nova Light" w:hAnsi="Arial Nova Light"/>
          <w:sz w:val="24"/>
          <w:szCs w:val="24"/>
        </w:rPr>
      </w:pPr>
      <w:r w:rsidRPr="004640F5">
        <w:rPr>
          <w:rFonts w:ascii="Arial Nova Light" w:hAnsi="Arial Nova Light"/>
          <w:sz w:val="24"/>
          <w:szCs w:val="24"/>
        </w:rPr>
        <w:t xml:space="preserve">Por lo tanto, </w:t>
      </w:r>
      <w:r w:rsidR="001106C5" w:rsidRPr="004640F5">
        <w:rPr>
          <w:rFonts w:ascii="Arial Nova Light" w:hAnsi="Arial Nova Light"/>
          <w:sz w:val="24"/>
          <w:szCs w:val="24"/>
        </w:rPr>
        <w:t xml:space="preserve">este Tribunal considera que se actualiza la causal de improcedencia prevista en el artículo 304, fracción II, inciso a), toda vez que no se advierte una afectación al interés jurídico del actor. </w:t>
      </w:r>
    </w:p>
    <w:p w14:paraId="67F4F4D5" w14:textId="231D9A62" w:rsidR="001106C5" w:rsidRPr="004640F5" w:rsidRDefault="00D228CD" w:rsidP="005B6952">
      <w:pPr>
        <w:pStyle w:val="Prrafodelista"/>
        <w:numPr>
          <w:ilvl w:val="0"/>
          <w:numId w:val="1"/>
        </w:numPr>
        <w:tabs>
          <w:tab w:val="left" w:pos="567"/>
          <w:tab w:val="left" w:pos="4395"/>
        </w:tabs>
        <w:spacing w:line="360" w:lineRule="auto"/>
        <w:ind w:left="0" w:firstLine="0"/>
        <w:jc w:val="both"/>
        <w:rPr>
          <w:rFonts w:ascii="Arial Nova Light" w:eastAsia="Arial Nova" w:hAnsi="Arial Nova Light" w:cs="Arial"/>
          <w:b/>
          <w:bCs/>
          <w:sz w:val="24"/>
          <w:szCs w:val="24"/>
        </w:rPr>
      </w:pPr>
      <w:r w:rsidRPr="004640F5">
        <w:rPr>
          <w:rFonts w:ascii="Arial Nova Light" w:eastAsia="Arial Nova" w:hAnsi="Arial Nova Light" w:cs="Arial"/>
          <w:b/>
          <w:bCs/>
          <w:sz w:val="24"/>
          <w:szCs w:val="24"/>
        </w:rPr>
        <w:t xml:space="preserve">DETERMINACIÓN </w:t>
      </w:r>
    </w:p>
    <w:p w14:paraId="4AB46B93" w14:textId="2E9C722A" w:rsidR="007D0FD8" w:rsidRPr="004640F5" w:rsidRDefault="00FE012C" w:rsidP="005B6952">
      <w:pPr>
        <w:spacing w:after="0" w:line="360" w:lineRule="auto"/>
        <w:contextualSpacing/>
        <w:jc w:val="both"/>
        <w:rPr>
          <w:rFonts w:ascii="Arial Nova Light" w:eastAsia="Arial Nova" w:hAnsi="Arial Nova Light" w:cs="Arial"/>
          <w:b/>
          <w:bCs/>
          <w:sz w:val="24"/>
          <w:szCs w:val="24"/>
        </w:rPr>
      </w:pPr>
      <w:r w:rsidRPr="004640F5">
        <w:rPr>
          <w:rFonts w:ascii="Arial Nova Light" w:eastAsia="Arial Nova" w:hAnsi="Arial Nova Light" w:cs="Arial"/>
          <w:sz w:val="24"/>
          <w:szCs w:val="24"/>
        </w:rPr>
        <w:t xml:space="preserve">Del análisis de la demanda, </w:t>
      </w:r>
      <w:r w:rsidRPr="004640F5">
        <w:rPr>
          <w:rFonts w:ascii="Arial Nova Light" w:eastAsia="Arial Nova" w:hAnsi="Arial Nova Light" w:cs="Arial"/>
          <w:i/>
          <w:iCs/>
          <w:sz w:val="24"/>
          <w:szCs w:val="24"/>
        </w:rPr>
        <w:t>-con independencia de que se actualice alguna otra causa de improcedencia-,</w:t>
      </w:r>
      <w:r w:rsidRPr="004640F5">
        <w:rPr>
          <w:rFonts w:ascii="Arial Nova Light" w:eastAsia="Arial Nova" w:hAnsi="Arial Nova Light" w:cs="Arial"/>
          <w:sz w:val="24"/>
          <w:szCs w:val="24"/>
        </w:rPr>
        <w:t xml:space="preserve"> este Tribunal considera que el escrito del actor debe desecharse de plano</w:t>
      </w:r>
      <w:r w:rsidRPr="004640F5">
        <w:rPr>
          <w:rFonts w:ascii="Arial Nova Light" w:hAnsi="Arial Nova Light" w:cs="Arial"/>
          <w:sz w:val="24"/>
          <w:szCs w:val="24"/>
          <w:vertAlign w:val="superscript"/>
        </w:rPr>
        <w:footnoteReference w:id="19"/>
      </w:r>
      <w:r w:rsidRPr="004640F5">
        <w:rPr>
          <w:rFonts w:ascii="Arial Nova Light" w:eastAsia="Arial Nova" w:hAnsi="Arial Nova Light" w:cs="Arial"/>
          <w:sz w:val="24"/>
          <w:szCs w:val="24"/>
        </w:rPr>
        <w:t>, por actualizars</w:t>
      </w:r>
      <w:r w:rsidR="001B0F58" w:rsidRPr="004640F5">
        <w:rPr>
          <w:rFonts w:ascii="Arial Nova Light" w:eastAsia="Arial Nova" w:hAnsi="Arial Nova Light" w:cs="Arial"/>
          <w:sz w:val="24"/>
          <w:szCs w:val="24"/>
        </w:rPr>
        <w:t xml:space="preserve">e </w:t>
      </w:r>
      <w:r w:rsidR="00D674EF" w:rsidRPr="004640F5">
        <w:rPr>
          <w:rFonts w:ascii="Arial Nova Light" w:eastAsia="Arial Nova" w:hAnsi="Arial Nova Light" w:cs="Arial"/>
          <w:sz w:val="24"/>
          <w:szCs w:val="24"/>
        </w:rPr>
        <w:t xml:space="preserve">la causal de improcedencia contenida en </w:t>
      </w:r>
      <w:r w:rsidR="007D0FD8" w:rsidRPr="004640F5">
        <w:rPr>
          <w:rFonts w:ascii="Arial Nova Light" w:eastAsia="Arial Nova" w:hAnsi="Arial Nova Light" w:cs="Arial"/>
          <w:sz w:val="24"/>
          <w:szCs w:val="24"/>
        </w:rPr>
        <w:t xml:space="preserve">artículo 304, fracción II, inciso a), del Código Electoral. </w:t>
      </w:r>
    </w:p>
    <w:p w14:paraId="0DA3A0D8" w14:textId="77777777" w:rsidR="00073FE5" w:rsidRPr="004640F5" w:rsidRDefault="00073FE5" w:rsidP="005B6952">
      <w:pPr>
        <w:spacing w:after="0" w:line="360" w:lineRule="auto"/>
        <w:contextualSpacing/>
        <w:jc w:val="both"/>
        <w:rPr>
          <w:rFonts w:ascii="Arial Nova Light" w:eastAsia="Arial Nova" w:hAnsi="Arial Nova Light" w:cs="Arial"/>
          <w:b/>
          <w:bCs/>
          <w:sz w:val="24"/>
          <w:szCs w:val="24"/>
        </w:rPr>
      </w:pPr>
    </w:p>
    <w:p w14:paraId="39B1ACD4" w14:textId="6C58A205" w:rsidR="00B44840" w:rsidRPr="004640F5" w:rsidRDefault="007E2F4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
          <w:bCs/>
          <w:sz w:val="24"/>
          <w:szCs w:val="24"/>
        </w:rPr>
      </w:pPr>
      <w:r w:rsidRPr="004640F5">
        <w:rPr>
          <w:rFonts w:ascii="Arial Nova Light" w:eastAsia="Arial Nova" w:hAnsi="Arial Nova Light" w:cs="Arial"/>
          <w:b/>
          <w:bCs/>
          <w:sz w:val="24"/>
          <w:szCs w:val="24"/>
        </w:rPr>
        <w:t>Por lo expuesto y fundado se resuelve:</w:t>
      </w:r>
    </w:p>
    <w:p w14:paraId="704024AB" w14:textId="77777777" w:rsidR="00B44840" w:rsidRPr="004640F5" w:rsidRDefault="00B44840" w:rsidP="005B6952">
      <w:pPr>
        <w:spacing w:after="0" w:line="360" w:lineRule="auto"/>
        <w:jc w:val="both"/>
        <w:rPr>
          <w:rFonts w:ascii="Arial Nova Light" w:eastAsia="Arial Nova" w:hAnsi="Arial Nova Light" w:cs="Arial"/>
          <w:sz w:val="24"/>
          <w:szCs w:val="24"/>
        </w:rPr>
      </w:pPr>
    </w:p>
    <w:p w14:paraId="67CBA449" w14:textId="68D935F1" w:rsidR="00B44840" w:rsidRPr="004640F5" w:rsidRDefault="00135393" w:rsidP="005B6952">
      <w:pPr>
        <w:spacing w:after="0" w:line="360" w:lineRule="auto"/>
        <w:jc w:val="both"/>
        <w:rPr>
          <w:rFonts w:ascii="Arial Nova Light" w:eastAsia="Arial Nova" w:hAnsi="Arial Nova Light" w:cs="Arial"/>
          <w:sz w:val="24"/>
          <w:szCs w:val="24"/>
        </w:rPr>
      </w:pPr>
      <w:r w:rsidRPr="004640F5">
        <w:rPr>
          <w:rFonts w:ascii="Arial Nova Light" w:eastAsia="Arial Nova" w:hAnsi="Arial Nova Light" w:cs="Arial"/>
          <w:b/>
          <w:sz w:val="24"/>
          <w:szCs w:val="24"/>
        </w:rPr>
        <w:t>Primero</w:t>
      </w:r>
      <w:r w:rsidR="007E2F45" w:rsidRPr="004640F5">
        <w:rPr>
          <w:rFonts w:ascii="Arial Nova Light" w:eastAsia="Arial Nova" w:hAnsi="Arial Nova Light" w:cs="Arial"/>
          <w:sz w:val="24"/>
          <w:szCs w:val="24"/>
        </w:rPr>
        <w:t>. Se desecha de plano la demanda</w:t>
      </w:r>
      <w:r w:rsidR="00671F09" w:rsidRPr="004640F5">
        <w:rPr>
          <w:rFonts w:ascii="Arial Nova Light" w:eastAsia="Arial Nova" w:hAnsi="Arial Nova Light" w:cs="Arial"/>
          <w:sz w:val="24"/>
          <w:szCs w:val="24"/>
        </w:rPr>
        <w:t xml:space="preserve">. </w:t>
      </w:r>
    </w:p>
    <w:p w14:paraId="06F5FA0D" w14:textId="1B929B90" w:rsidR="00135393" w:rsidRPr="004640F5" w:rsidRDefault="00135393" w:rsidP="005B6952">
      <w:pPr>
        <w:spacing w:after="0" w:line="360" w:lineRule="auto"/>
        <w:jc w:val="both"/>
        <w:rPr>
          <w:rFonts w:ascii="Arial Nova Light" w:eastAsia="Arial Nova" w:hAnsi="Arial Nova Light" w:cs="Arial"/>
          <w:sz w:val="24"/>
          <w:szCs w:val="24"/>
        </w:rPr>
      </w:pPr>
      <w:r w:rsidRPr="004640F5">
        <w:rPr>
          <w:rFonts w:ascii="Arial Nova Light" w:eastAsia="Arial Nova" w:hAnsi="Arial Nova Light" w:cs="Arial"/>
          <w:b/>
          <w:bCs/>
          <w:sz w:val="24"/>
          <w:szCs w:val="24"/>
        </w:rPr>
        <w:lastRenderedPageBreak/>
        <w:t xml:space="preserve">Segundo. </w:t>
      </w:r>
      <w:r w:rsidRPr="004640F5">
        <w:rPr>
          <w:rFonts w:ascii="Arial Nova Light" w:eastAsia="Arial Nova" w:hAnsi="Arial Nova Light" w:cs="Arial"/>
          <w:sz w:val="24"/>
          <w:szCs w:val="24"/>
        </w:rPr>
        <w:t xml:space="preserve">Se orden al Secretario General de Acuerdos de este Tribunal, </w:t>
      </w:r>
      <w:r w:rsidR="00A84008" w:rsidRPr="004640F5">
        <w:rPr>
          <w:rFonts w:ascii="Arial Nova Light" w:eastAsia="Arial Nova" w:hAnsi="Arial Nova Light" w:cs="Arial"/>
          <w:sz w:val="24"/>
          <w:szCs w:val="24"/>
        </w:rPr>
        <w:t xml:space="preserve">para que de manera inmediata </w:t>
      </w:r>
      <w:r w:rsidR="00337A0D" w:rsidRPr="004640F5">
        <w:rPr>
          <w:rFonts w:ascii="Arial Nova Light" w:eastAsia="Arial Nova" w:hAnsi="Arial Nova Light" w:cs="Arial"/>
          <w:sz w:val="24"/>
          <w:szCs w:val="24"/>
        </w:rPr>
        <w:t>informe</w:t>
      </w:r>
      <w:r w:rsidRPr="004640F5">
        <w:rPr>
          <w:rFonts w:ascii="Arial Nova Light" w:eastAsia="Arial Nova" w:hAnsi="Arial Nova Light" w:cs="Arial"/>
          <w:sz w:val="24"/>
          <w:szCs w:val="24"/>
        </w:rPr>
        <w:t xml:space="preserve"> a Sala Regional Monterrey del dictado de la presente resolución </w:t>
      </w:r>
      <w:r w:rsidR="00337A0D" w:rsidRPr="004640F5">
        <w:rPr>
          <w:rFonts w:ascii="Arial Nova Light" w:eastAsia="Arial Nova" w:hAnsi="Arial Nova Light" w:cs="Arial"/>
          <w:sz w:val="24"/>
          <w:szCs w:val="24"/>
        </w:rPr>
        <w:t xml:space="preserve">en cumplimiento </w:t>
      </w:r>
      <w:r w:rsidR="00F03641" w:rsidRPr="004640F5">
        <w:rPr>
          <w:rFonts w:ascii="Arial Nova Light" w:eastAsia="Arial Nova" w:hAnsi="Arial Nova Light" w:cs="Arial"/>
          <w:sz w:val="24"/>
          <w:szCs w:val="24"/>
        </w:rPr>
        <w:t>al</w:t>
      </w:r>
      <w:r w:rsidRPr="004640F5">
        <w:rPr>
          <w:rFonts w:ascii="Arial Nova Light" w:eastAsia="Arial Nova" w:hAnsi="Arial Nova Light" w:cs="Arial"/>
          <w:sz w:val="24"/>
          <w:szCs w:val="24"/>
        </w:rPr>
        <w:t xml:space="preserve"> término</w:t>
      </w:r>
      <w:r w:rsidR="00A84008" w:rsidRPr="004640F5">
        <w:rPr>
          <w:rFonts w:ascii="Arial Nova Light" w:eastAsia="Arial Nova" w:hAnsi="Arial Nova Light" w:cs="Arial"/>
          <w:sz w:val="24"/>
          <w:szCs w:val="24"/>
        </w:rPr>
        <w:t xml:space="preserve"> ordenado en el acuerdo de reencauzamiento del expediente SM-JDC-155/2021. </w:t>
      </w:r>
    </w:p>
    <w:p w14:paraId="0A6A8194" w14:textId="77777777" w:rsidR="00B44840" w:rsidRPr="004640F5" w:rsidRDefault="00B44840" w:rsidP="005B6952">
      <w:pPr>
        <w:spacing w:after="0" w:line="360" w:lineRule="auto"/>
        <w:jc w:val="both"/>
        <w:rPr>
          <w:rFonts w:ascii="Arial Nova Light" w:eastAsia="Arial Nova" w:hAnsi="Arial Nova Light" w:cs="Arial"/>
          <w:sz w:val="24"/>
          <w:szCs w:val="24"/>
        </w:rPr>
      </w:pPr>
    </w:p>
    <w:p w14:paraId="32F9C450" w14:textId="6DA8FA03" w:rsidR="00B44840" w:rsidRPr="004640F5" w:rsidRDefault="007E2F45" w:rsidP="005B6952">
      <w:pPr>
        <w:pBdr>
          <w:top w:val="nil"/>
          <w:left w:val="nil"/>
          <w:bottom w:val="nil"/>
          <w:right w:val="nil"/>
          <w:between w:val="nil"/>
        </w:pBdr>
        <w:spacing w:after="0" w:line="360" w:lineRule="auto"/>
        <w:jc w:val="both"/>
        <w:rPr>
          <w:rFonts w:ascii="Arial Nova Light" w:eastAsia="Arial Nova" w:hAnsi="Arial Nova Light" w:cs="Arial"/>
          <w:sz w:val="24"/>
          <w:szCs w:val="24"/>
        </w:rPr>
      </w:pPr>
      <w:r w:rsidRPr="004640F5">
        <w:rPr>
          <w:rFonts w:ascii="Arial Nova Light" w:eastAsia="Arial Nova" w:hAnsi="Arial Nova Light" w:cs="Arial"/>
          <w:b/>
          <w:sz w:val="24"/>
          <w:szCs w:val="24"/>
        </w:rPr>
        <w:t>NOTIFÍQUESE</w:t>
      </w:r>
      <w:r w:rsidR="004640F5" w:rsidRPr="004640F5">
        <w:rPr>
          <w:rFonts w:ascii="Arial Nova Light" w:eastAsia="Arial Nova" w:hAnsi="Arial Nova Light" w:cs="Arial"/>
          <w:b/>
          <w:sz w:val="24"/>
          <w:szCs w:val="24"/>
        </w:rPr>
        <w:t xml:space="preserve">. </w:t>
      </w:r>
      <w:r w:rsidR="004640F5" w:rsidRPr="004640F5">
        <w:rPr>
          <w:rFonts w:ascii="Arial Nova Light" w:eastAsia="Arial Nova" w:hAnsi="Arial Nova Light" w:cs="Arial"/>
          <w:bCs/>
          <w:sz w:val="24"/>
          <w:szCs w:val="24"/>
        </w:rPr>
        <w:t>E</w:t>
      </w:r>
      <w:r w:rsidRPr="004640F5">
        <w:rPr>
          <w:rFonts w:ascii="Arial Nova Light" w:eastAsia="Arial Nova" w:hAnsi="Arial Nova Light" w:cs="Arial"/>
          <w:sz w:val="24"/>
          <w:szCs w:val="24"/>
        </w:rPr>
        <w:t xml:space="preserve">n su oportunidad, archívese el presente expediente como asunto concluido. </w:t>
      </w:r>
    </w:p>
    <w:p w14:paraId="32ECF7B9" w14:textId="77777777" w:rsidR="00B44840" w:rsidRPr="004640F5" w:rsidRDefault="00B44840" w:rsidP="005B6952">
      <w:pPr>
        <w:pBdr>
          <w:top w:val="nil"/>
          <w:left w:val="nil"/>
          <w:bottom w:val="nil"/>
          <w:right w:val="nil"/>
          <w:between w:val="nil"/>
        </w:pBdr>
        <w:spacing w:after="0" w:line="360" w:lineRule="auto"/>
        <w:jc w:val="both"/>
        <w:rPr>
          <w:rFonts w:ascii="Arial Nova Light" w:eastAsia="Arial Nova" w:hAnsi="Arial Nova Light" w:cs="Arial"/>
          <w:sz w:val="24"/>
          <w:szCs w:val="24"/>
        </w:rPr>
      </w:pPr>
    </w:p>
    <w:p w14:paraId="31EDC33D" w14:textId="3AFBAC46" w:rsidR="00B44840" w:rsidRPr="004640F5" w:rsidRDefault="007E2F45" w:rsidP="005B6952">
      <w:pPr>
        <w:pBdr>
          <w:top w:val="nil"/>
          <w:left w:val="nil"/>
          <w:bottom w:val="nil"/>
          <w:right w:val="nil"/>
          <w:between w:val="nil"/>
        </w:pBdr>
        <w:spacing w:after="0" w:line="360" w:lineRule="auto"/>
        <w:jc w:val="both"/>
        <w:rPr>
          <w:rFonts w:ascii="Arial Nova Light" w:eastAsia="Arial Nova" w:hAnsi="Arial Nova Light" w:cs="Arial"/>
          <w:sz w:val="24"/>
          <w:szCs w:val="24"/>
        </w:rPr>
      </w:pPr>
      <w:r w:rsidRPr="004640F5">
        <w:rPr>
          <w:rFonts w:ascii="Arial Nova Light" w:eastAsia="Arial Nova" w:hAnsi="Arial Nova Light" w:cs="Arial"/>
          <w:sz w:val="24"/>
          <w:szCs w:val="24"/>
        </w:rPr>
        <w:t xml:space="preserve">Así lo resolvió el Tribunal Electoral del Estado de Aguascalientes, por unanimidad de votos de la Magistrada y Magistrados que lo integran, ante el Secretario General de Acuerdos, quien autoriza y da fe.  </w:t>
      </w:r>
    </w:p>
    <w:tbl>
      <w:tblPr>
        <w:tblStyle w:val="a0"/>
        <w:tblW w:w="911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036BD4" w:rsidRPr="004640F5" w14:paraId="10982EC9" w14:textId="77777777">
        <w:trPr>
          <w:trHeight w:val="2136"/>
          <w:jc w:val="center"/>
        </w:trPr>
        <w:tc>
          <w:tcPr>
            <w:tcW w:w="9118" w:type="dxa"/>
            <w:gridSpan w:val="2"/>
          </w:tcPr>
          <w:p w14:paraId="6AC5C7D3" w14:textId="1CBDA698" w:rsidR="00B44840" w:rsidRPr="004640F5"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4640F5">
              <w:rPr>
                <w:rFonts w:ascii="Arial Nova Light" w:eastAsia="Arial Nova" w:hAnsi="Arial Nova Light" w:cs="Arial"/>
                <w:b/>
                <w:sz w:val="24"/>
                <w:szCs w:val="24"/>
              </w:rPr>
              <w:t>MAGISTRADA PRESIDENTA</w:t>
            </w:r>
          </w:p>
          <w:p w14:paraId="199AA4B2" w14:textId="7CA9BDE1" w:rsidR="00144ACB" w:rsidRPr="004640F5" w:rsidRDefault="00144ACB"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p>
          <w:p w14:paraId="6717A169" w14:textId="09CD0738" w:rsidR="00B44840" w:rsidRPr="004640F5"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4640F5">
              <w:rPr>
                <w:rFonts w:ascii="Arial Nova Light" w:eastAsia="Arial Nova" w:hAnsi="Arial Nova Light" w:cs="Arial"/>
                <w:b/>
                <w:sz w:val="24"/>
                <w:szCs w:val="24"/>
              </w:rPr>
              <w:t>CLAUDIA ELOISA DÍAZ DE LEÓN GONZÁLEZ</w:t>
            </w:r>
          </w:p>
        </w:tc>
      </w:tr>
      <w:tr w:rsidR="00036BD4" w:rsidRPr="004640F5" w14:paraId="44B31CD8" w14:textId="77777777">
        <w:trPr>
          <w:jc w:val="center"/>
        </w:trPr>
        <w:tc>
          <w:tcPr>
            <w:tcW w:w="4558" w:type="dxa"/>
          </w:tcPr>
          <w:p w14:paraId="39478F3D" w14:textId="35E73C6C" w:rsidR="00B44840" w:rsidRPr="004640F5"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4640F5">
              <w:rPr>
                <w:rFonts w:ascii="Arial Nova Light" w:eastAsia="Arial Nova" w:hAnsi="Arial Nova Light" w:cs="Arial"/>
                <w:b/>
                <w:sz w:val="24"/>
                <w:szCs w:val="24"/>
              </w:rPr>
              <w:t>MAGISTRADA</w:t>
            </w:r>
          </w:p>
          <w:p w14:paraId="3546B5C0" w14:textId="6B386A1D" w:rsidR="00B44840" w:rsidRPr="004640F5" w:rsidRDefault="00B44840"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p>
          <w:p w14:paraId="732CD2FB" w14:textId="77777777" w:rsidR="00CE53FC" w:rsidRPr="004640F5"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4640F5">
              <w:rPr>
                <w:rFonts w:ascii="Arial Nova Light" w:eastAsia="Arial Nova" w:hAnsi="Arial Nova Light" w:cs="Arial"/>
                <w:b/>
                <w:sz w:val="24"/>
                <w:szCs w:val="24"/>
              </w:rPr>
              <w:t xml:space="preserve">LAURA HORTENSIA </w:t>
            </w:r>
          </w:p>
          <w:p w14:paraId="74B75054" w14:textId="2F6FE83A" w:rsidR="00B44840" w:rsidRPr="004640F5"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4640F5">
              <w:rPr>
                <w:rFonts w:ascii="Arial Nova Light" w:eastAsia="Arial Nova" w:hAnsi="Arial Nova Light" w:cs="Arial"/>
                <w:b/>
                <w:sz w:val="24"/>
                <w:szCs w:val="24"/>
              </w:rPr>
              <w:t>LLAMAS HERNÁNDEZ</w:t>
            </w:r>
          </w:p>
        </w:tc>
        <w:tc>
          <w:tcPr>
            <w:tcW w:w="4560" w:type="dxa"/>
          </w:tcPr>
          <w:p w14:paraId="37918E98" w14:textId="23BDCD20" w:rsidR="00B44840" w:rsidRPr="004640F5"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4640F5">
              <w:rPr>
                <w:rFonts w:ascii="Arial Nova Light" w:eastAsia="Arial Nova" w:hAnsi="Arial Nova Light" w:cs="Arial"/>
                <w:b/>
                <w:sz w:val="24"/>
                <w:szCs w:val="24"/>
              </w:rPr>
              <w:t>MAGISTRADO</w:t>
            </w:r>
          </w:p>
          <w:p w14:paraId="45FFFA6B" w14:textId="381EE84F" w:rsidR="00B44840" w:rsidRPr="004640F5" w:rsidRDefault="00B44840"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p>
          <w:p w14:paraId="0836C5CC" w14:textId="77777777" w:rsidR="00B44840" w:rsidRPr="004640F5"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4640F5">
              <w:rPr>
                <w:rFonts w:ascii="Arial Nova Light" w:eastAsia="Arial Nova" w:hAnsi="Arial Nova Light" w:cs="Arial"/>
                <w:b/>
                <w:sz w:val="24"/>
                <w:szCs w:val="24"/>
              </w:rPr>
              <w:t>HÉCTOR SALVADOR</w:t>
            </w:r>
          </w:p>
          <w:p w14:paraId="384EDE4E" w14:textId="77777777" w:rsidR="00B44840" w:rsidRPr="004640F5"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4640F5">
              <w:rPr>
                <w:rFonts w:ascii="Arial Nova Light" w:eastAsia="Arial Nova" w:hAnsi="Arial Nova Light" w:cs="Arial"/>
                <w:b/>
                <w:sz w:val="24"/>
                <w:szCs w:val="24"/>
              </w:rPr>
              <w:t>HERNÁNDEZ GALLEGOS</w:t>
            </w:r>
          </w:p>
        </w:tc>
      </w:tr>
      <w:tr w:rsidR="00B44840" w:rsidRPr="004640F5" w14:paraId="50EEA4CA" w14:textId="77777777">
        <w:trPr>
          <w:jc w:val="center"/>
        </w:trPr>
        <w:tc>
          <w:tcPr>
            <w:tcW w:w="9118" w:type="dxa"/>
            <w:gridSpan w:val="2"/>
          </w:tcPr>
          <w:p w14:paraId="511C043B" w14:textId="7293F3A4" w:rsidR="00F43F60" w:rsidRDefault="00F43F60"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p>
          <w:p w14:paraId="40B2E16A" w14:textId="6E05019E" w:rsidR="00B44840" w:rsidRPr="004640F5"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4640F5">
              <w:rPr>
                <w:rFonts w:ascii="Arial Nova Light" w:eastAsia="Arial Nova" w:hAnsi="Arial Nova Light" w:cs="Arial"/>
                <w:b/>
                <w:sz w:val="24"/>
                <w:szCs w:val="24"/>
              </w:rPr>
              <w:t>SECRETARIO GENERAL DE ACUERDOS</w:t>
            </w:r>
          </w:p>
          <w:p w14:paraId="43272CCE" w14:textId="77777777" w:rsidR="00B44840" w:rsidRPr="004640F5"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4640F5">
              <w:rPr>
                <w:rFonts w:ascii="Arial Nova Light" w:eastAsia="Arial Nova" w:hAnsi="Arial Nova Light" w:cs="Arial"/>
                <w:b/>
                <w:sz w:val="24"/>
                <w:szCs w:val="24"/>
              </w:rPr>
              <w:t>JESÚS OCIEL BAENA SAUCEDO</w:t>
            </w:r>
          </w:p>
        </w:tc>
      </w:tr>
    </w:tbl>
    <w:p w14:paraId="6E34BDEF" w14:textId="77777777" w:rsidR="00B44840" w:rsidRPr="004640F5" w:rsidRDefault="00B44840" w:rsidP="004640F5">
      <w:pPr>
        <w:spacing w:after="160" w:line="360" w:lineRule="auto"/>
        <w:jc w:val="both"/>
        <w:rPr>
          <w:rFonts w:ascii="Arial Nova Light" w:eastAsia="Arial Nova" w:hAnsi="Arial Nova Light" w:cs="Arial"/>
          <w:sz w:val="24"/>
          <w:szCs w:val="24"/>
        </w:rPr>
      </w:pPr>
    </w:p>
    <w:sectPr w:rsidR="00B44840" w:rsidRPr="004640F5" w:rsidSect="004640F5">
      <w:headerReference w:type="even" r:id="rId8"/>
      <w:headerReference w:type="default" r:id="rId9"/>
      <w:footerReference w:type="even" r:id="rId10"/>
      <w:footerReference w:type="default" r:id="rId11"/>
      <w:headerReference w:type="first" r:id="rId12"/>
      <w:footerReference w:type="first" r:id="rId13"/>
      <w:pgSz w:w="12240" w:h="20160"/>
      <w:pgMar w:top="2552" w:right="1325" w:bottom="156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55C59" w14:textId="77777777" w:rsidR="000530C6" w:rsidRDefault="000530C6">
      <w:pPr>
        <w:spacing w:after="0" w:line="240" w:lineRule="auto"/>
      </w:pPr>
      <w:r>
        <w:separator/>
      </w:r>
    </w:p>
  </w:endnote>
  <w:endnote w:type="continuationSeparator" w:id="0">
    <w:p w14:paraId="0171E3F1" w14:textId="77777777" w:rsidR="000530C6" w:rsidRDefault="0005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ova Light">
    <w:altName w:val="Arial Nova Light"/>
    <w:charset w:val="00"/>
    <w:family w:val="swiss"/>
    <w:pitch w:val="variable"/>
    <w:sig w:usb0="2000028F" w:usb1="00000002" w:usb2="00000000" w:usb3="00000000" w:csb0="0000019F" w:csb1="00000000"/>
  </w:font>
  <w:font w:name="Arial Nova">
    <w:altName w:val="Arial Nova"/>
    <w:charset w:val="00"/>
    <w:family w:val="swiss"/>
    <w:pitch w:val="variable"/>
    <w:sig w:usb0="2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535F" w14:textId="77777777" w:rsidR="00096A39" w:rsidRDefault="00096A39">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0043D" w14:textId="77777777" w:rsidR="00096A39" w:rsidRDefault="00096A3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FC93" w14:textId="77777777" w:rsidR="00096A39" w:rsidRDefault="00096A3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A38D5" w14:textId="77777777" w:rsidR="000530C6" w:rsidRDefault="000530C6">
      <w:pPr>
        <w:spacing w:after="0" w:line="240" w:lineRule="auto"/>
      </w:pPr>
      <w:r>
        <w:separator/>
      </w:r>
    </w:p>
  </w:footnote>
  <w:footnote w:type="continuationSeparator" w:id="0">
    <w:p w14:paraId="423CF70E" w14:textId="77777777" w:rsidR="000530C6" w:rsidRDefault="000530C6">
      <w:pPr>
        <w:spacing w:after="0" w:line="240" w:lineRule="auto"/>
      </w:pPr>
      <w:r>
        <w:continuationSeparator/>
      </w:r>
    </w:p>
  </w:footnote>
  <w:footnote w:id="1">
    <w:p w14:paraId="1447E713" w14:textId="77777777" w:rsidR="00F717E5" w:rsidRPr="007722C0" w:rsidRDefault="00F717E5" w:rsidP="00036BD4">
      <w:pPr>
        <w:pStyle w:val="Textonotapie"/>
        <w:jc w:val="both"/>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Encargado de despacho de la Secretaría de Estudio adscrita a la Ponencia I del Tribunal Electoral del Estado de Aguascalientes.</w:t>
      </w:r>
    </w:p>
  </w:footnote>
  <w:footnote w:id="2">
    <w:p w14:paraId="285489E1" w14:textId="77777777" w:rsidR="00096A39" w:rsidRPr="007722C0" w:rsidRDefault="00096A39" w:rsidP="00036BD4">
      <w:pPr>
        <w:pBdr>
          <w:top w:val="nil"/>
          <w:left w:val="nil"/>
          <w:bottom w:val="nil"/>
          <w:right w:val="nil"/>
          <w:between w:val="nil"/>
        </w:pBdr>
        <w:spacing w:after="0" w:line="240" w:lineRule="auto"/>
        <w:jc w:val="both"/>
        <w:rPr>
          <w:rFonts w:ascii="Arial Nova Light" w:eastAsia="Arial Nova" w:hAnsi="Arial Nova Light" w:cs="Arial"/>
          <w:b/>
          <w:color w:val="000000"/>
          <w:sz w:val="16"/>
          <w:szCs w:val="16"/>
        </w:rPr>
      </w:pPr>
      <w:r w:rsidRPr="007722C0">
        <w:rPr>
          <w:rFonts w:ascii="Arial Nova Light" w:hAnsi="Arial Nova Light" w:cs="Arial"/>
          <w:sz w:val="16"/>
          <w:szCs w:val="16"/>
          <w:vertAlign w:val="superscript"/>
        </w:rPr>
        <w:footnoteRef/>
      </w:r>
      <w:r w:rsidRPr="007722C0">
        <w:rPr>
          <w:rFonts w:ascii="Arial Nova Light" w:eastAsia="Arial Nova" w:hAnsi="Arial Nova Light" w:cs="Arial"/>
          <w:color w:val="000000"/>
          <w:sz w:val="16"/>
          <w:szCs w:val="16"/>
        </w:rPr>
        <w:t xml:space="preserve"> Criterio contenido en la Jurisprudencia 4/99, de rubro: </w:t>
      </w:r>
      <w:r w:rsidRPr="007722C0">
        <w:rPr>
          <w:rFonts w:ascii="Arial Nova Light" w:eastAsia="Arial Nova" w:hAnsi="Arial Nova Light" w:cs="Arial"/>
          <w:b/>
          <w:color w:val="000000"/>
          <w:sz w:val="16"/>
          <w:szCs w:val="16"/>
        </w:rPr>
        <w:t>MEDIOS DE IMPUGNACIÓN EN MATERIA ELECTORAL. EL RESOLUTOR DEBE INTERPRETAR EL OCURSO QUE LOS CONTENGA PARA DETERMINAR LA VERDADERA INTENCIÓN DEL ACTOR.</w:t>
      </w:r>
    </w:p>
  </w:footnote>
  <w:footnote w:id="3">
    <w:p w14:paraId="23D1D920" w14:textId="77777777" w:rsidR="006B74A2" w:rsidRDefault="006B74A2" w:rsidP="006B74A2">
      <w:pPr>
        <w:pStyle w:val="Textonotapie"/>
      </w:pPr>
      <w:r>
        <w:rPr>
          <w:rStyle w:val="Refdenotaalpie"/>
        </w:rPr>
        <w:footnoteRef/>
      </w:r>
      <w:r>
        <w:t xml:space="preserve"> </w:t>
      </w:r>
      <w:r w:rsidRPr="00D5652B">
        <w:t>https://www.te.gob.mx/IUSEapp/tesisjur.aspx?idtesis=12/2003&amp;tpoBusqueda=S&amp;sWord=cosa,juzgad</w:t>
      </w:r>
    </w:p>
  </w:footnote>
  <w:footnote w:id="4">
    <w:p w14:paraId="577F9FA8" w14:textId="77777777" w:rsidR="0021055F" w:rsidRPr="007722C0" w:rsidRDefault="0021055F"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ARTÍCULO 304.- Los recursos que regula este Código, se considerarán improcedentes en los siguientes casos: II. Cuando se pretenda impugnar actos o resoluciones: a) Que no afecten el interés jurídico del actor. </w:t>
      </w:r>
    </w:p>
  </w:footnote>
  <w:footnote w:id="5">
    <w:p w14:paraId="502C9927" w14:textId="77777777" w:rsidR="00537512" w:rsidRPr="007722C0" w:rsidRDefault="00537512" w:rsidP="00036BD4">
      <w:pPr>
        <w:pStyle w:val="Textonotapie"/>
        <w:jc w:val="both"/>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w:t>
      </w:r>
      <w:r w:rsidRPr="007722C0">
        <w:rPr>
          <w:rFonts w:ascii="Arial Nova Light" w:hAnsi="Arial Nova Light" w:cs="Arial"/>
          <w:color w:val="000000"/>
          <w:sz w:val="16"/>
          <w:szCs w:val="16"/>
        </w:rPr>
        <w:t>Artículo 18.- Los diputados podrán ser electos hasta por dos periodos consecutivos. La postulación sólo podrá ser realizada por el mismo partido o por cualquiera de los partidos integrantes de la coalición que los hubieren postulado, salvo que hayan renunciado o perdido su militancia antes de la mitad de su mandato.</w:t>
      </w:r>
    </w:p>
  </w:footnote>
  <w:footnote w:id="6">
    <w:p w14:paraId="0362D105" w14:textId="5C7618F8" w:rsidR="00B2436A" w:rsidRPr="007722C0" w:rsidRDefault="00B2436A"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Criterio sostenido en la sentencia SUP-JDC-0236/2018. </w:t>
      </w:r>
    </w:p>
  </w:footnote>
  <w:footnote w:id="7">
    <w:p w14:paraId="0FD23F21" w14:textId="48B64259" w:rsidR="00EF5068" w:rsidRPr="007722C0" w:rsidRDefault="00EF5068"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w:t>
      </w:r>
      <w:r w:rsidR="00ED2353" w:rsidRPr="007722C0">
        <w:rPr>
          <w:rFonts w:ascii="Arial Nova Light" w:hAnsi="Arial Nova Light" w:cs="Arial"/>
          <w:sz w:val="16"/>
          <w:szCs w:val="16"/>
        </w:rPr>
        <w:t xml:space="preserve">Jurisprudencia consultable en la URL: </w:t>
      </w:r>
      <w:hyperlink r:id="rId1" w:history="1">
        <w:r w:rsidR="002A456D" w:rsidRPr="007722C0">
          <w:rPr>
            <w:rStyle w:val="Hipervnculo"/>
            <w:rFonts w:ascii="Arial Nova Light" w:hAnsi="Arial Nova Light" w:cs="Arial"/>
            <w:sz w:val="16"/>
            <w:szCs w:val="16"/>
          </w:rPr>
          <w:t>https://mexico.justia.com/federales/jurisprudencias-tesis/tribunal-electoral/jurisprudencia-7-2002/</w:t>
        </w:r>
      </w:hyperlink>
      <w:r w:rsidR="002A456D" w:rsidRPr="007722C0">
        <w:rPr>
          <w:rFonts w:ascii="Arial Nova Light" w:hAnsi="Arial Nova Light" w:cs="Arial"/>
          <w:sz w:val="16"/>
          <w:szCs w:val="16"/>
        </w:rPr>
        <w:t xml:space="preserve"> </w:t>
      </w:r>
    </w:p>
  </w:footnote>
  <w:footnote w:id="8">
    <w:p w14:paraId="2A2C3553" w14:textId="4C3E95D6" w:rsidR="0023590F" w:rsidRPr="007722C0" w:rsidRDefault="0023590F" w:rsidP="00036BD4">
      <w:pPr>
        <w:pStyle w:val="Textonotapie"/>
        <w:jc w:val="both"/>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Ley General de Medios de Impugnación en Materia Electoral. </w:t>
      </w:r>
    </w:p>
  </w:footnote>
  <w:footnote w:id="9">
    <w:p w14:paraId="70395C76" w14:textId="314877A5" w:rsidR="00036BD4" w:rsidRPr="007722C0" w:rsidRDefault="00036BD4" w:rsidP="00036BD4">
      <w:pPr>
        <w:pStyle w:val="Textonotapie"/>
        <w:jc w:val="both"/>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https://www.te.gob.mx/EE/SUP/2021/REC/103/SUP_2021_REC_103-964218.pdf</w:t>
      </w:r>
    </w:p>
  </w:footnote>
  <w:footnote w:id="10">
    <w:p w14:paraId="34E2BCA2" w14:textId="120F0C3B" w:rsidR="00EE3646" w:rsidRPr="007722C0" w:rsidRDefault="00EE3646"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w:t>
      </w:r>
      <w:r w:rsidRPr="007722C0">
        <w:rPr>
          <w:rFonts w:ascii="Arial Nova Light" w:hAnsi="Arial Nova Light" w:cs="Arial"/>
          <w:color w:val="000000"/>
          <w:sz w:val="16"/>
          <w:szCs w:val="16"/>
        </w:rPr>
        <w:t>Tesis: 1a./J. 38/2016 (10a.); Página: 690: “</w:t>
      </w:r>
      <w:r w:rsidRPr="007722C0">
        <w:rPr>
          <w:rFonts w:ascii="Arial Nova Light" w:hAnsi="Arial Nova Light" w:cs="Arial"/>
          <w:b/>
          <w:bCs/>
          <w:i/>
          <w:iCs/>
          <w:color w:val="000000"/>
          <w:sz w:val="16"/>
          <w:szCs w:val="16"/>
        </w:rPr>
        <w:t>INTERÉS LEGÍTIMO EN EL AMPARO. SU DIFERENCIA CON EL INTERÉS SIMPLE. </w:t>
      </w:r>
    </w:p>
  </w:footnote>
  <w:footnote w:id="11">
    <w:p w14:paraId="4004F66A" w14:textId="4690CBBE" w:rsidR="00F82F3F" w:rsidRPr="007722C0" w:rsidRDefault="00F82F3F"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Definición aportada por la Sala Superior en el expediente </w:t>
      </w:r>
      <w:r w:rsidR="00EE3646" w:rsidRPr="007722C0">
        <w:rPr>
          <w:rFonts w:ascii="Arial Nova Light" w:hAnsi="Arial Nova Light" w:cs="Arial"/>
          <w:sz w:val="16"/>
          <w:szCs w:val="16"/>
        </w:rPr>
        <w:t xml:space="preserve">consultable en la URL: </w:t>
      </w:r>
      <w:hyperlink r:id="rId2" w:history="1">
        <w:r w:rsidR="00EE3646" w:rsidRPr="007722C0">
          <w:rPr>
            <w:rStyle w:val="Hipervnculo"/>
            <w:rFonts w:ascii="Arial Nova Light" w:hAnsi="Arial Nova Light" w:cs="Arial"/>
            <w:sz w:val="16"/>
            <w:szCs w:val="16"/>
          </w:rPr>
          <w:t>https://www.te.gob.mx/colecciones/sentencias/html/SUP/2018/JDC/SUP-JDC-00236-2018.htm</w:t>
        </w:r>
      </w:hyperlink>
      <w:r w:rsidR="00EE3646" w:rsidRPr="007722C0">
        <w:rPr>
          <w:rFonts w:ascii="Arial Nova Light" w:hAnsi="Arial Nova Light" w:cs="Arial"/>
          <w:sz w:val="16"/>
          <w:szCs w:val="16"/>
        </w:rPr>
        <w:t xml:space="preserve"> </w:t>
      </w:r>
    </w:p>
  </w:footnote>
  <w:footnote w:id="12">
    <w:p w14:paraId="4D28D08D" w14:textId="5CD9B7EF" w:rsidR="0023590F" w:rsidRPr="007722C0" w:rsidRDefault="0023590F" w:rsidP="00036BD4">
      <w:pPr>
        <w:pStyle w:val="Textonotapie"/>
        <w:jc w:val="both"/>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SUP-REC-103/2021</w:t>
      </w:r>
    </w:p>
  </w:footnote>
  <w:footnote w:id="13">
    <w:p w14:paraId="6EAF928E" w14:textId="323E97EB" w:rsidR="00121822" w:rsidRPr="007722C0" w:rsidRDefault="00121822"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w:t>
      </w:r>
      <w:r w:rsidR="003B230E" w:rsidRPr="007722C0">
        <w:rPr>
          <w:rFonts w:ascii="Arial Nova Light" w:hAnsi="Arial Nova Light" w:cs="Arial"/>
          <w:color w:val="000000"/>
          <w:sz w:val="16"/>
          <w:szCs w:val="16"/>
        </w:rPr>
        <w:t>el interés simple ha sido definido la Primera Sala de la Suprema Corte de Justicia de la Nación</w:t>
      </w:r>
      <w:bookmarkStart w:id="2" w:name="_ftnref4"/>
      <w:bookmarkEnd w:id="2"/>
      <w:r w:rsidR="00ED1A1F" w:rsidRPr="007722C0">
        <w:rPr>
          <w:rFonts w:ascii="Arial Nova Light" w:hAnsi="Arial Nova Light" w:cs="Arial"/>
          <w:color w:val="000000"/>
          <w:sz w:val="16"/>
          <w:szCs w:val="16"/>
        </w:rPr>
        <w:t>, en la jurisprudencia 1a./J. 38/2016 (10a.),</w:t>
      </w:r>
      <w:hyperlink r:id="rId3" w:anchor="_ftn4" w:history="1"/>
      <w:r w:rsidR="00ED1A1F" w:rsidRPr="007722C0">
        <w:rPr>
          <w:rFonts w:ascii="Arial Nova Light" w:hAnsi="Arial Nova Light" w:cs="Arial"/>
          <w:color w:val="000000"/>
          <w:sz w:val="16"/>
          <w:szCs w:val="16"/>
        </w:rPr>
        <w:t xml:space="preserve"> </w:t>
      </w:r>
      <w:r w:rsidR="003B230E" w:rsidRPr="007722C0">
        <w:rPr>
          <w:rFonts w:ascii="Arial Nova Light" w:hAnsi="Arial Nova Light" w:cs="Arial"/>
          <w:color w:val="000000"/>
          <w:sz w:val="16"/>
          <w:szCs w:val="16"/>
        </w:rPr>
        <w:t>como un interés jurídicamente irrelevante, esto es, </w:t>
      </w:r>
      <w:r w:rsidR="003B230E" w:rsidRPr="007722C0">
        <w:rPr>
          <w:rFonts w:ascii="Arial Nova Light" w:hAnsi="Arial Nova Light" w:cs="Arial"/>
          <w:i/>
          <w:iCs/>
          <w:color w:val="000000"/>
          <w:sz w:val="16"/>
          <w:szCs w:val="16"/>
        </w:rPr>
        <w:t>“como el que puede tener cualquier persona por alguna acción u omisión del Estado pero que, en caso de satisfacerse, no se traducirá en un beneficio personal para el interesado”.</w:t>
      </w:r>
      <w:r w:rsidR="00ED1A1F" w:rsidRPr="007722C0">
        <w:rPr>
          <w:rFonts w:ascii="Arial Nova Light" w:hAnsi="Arial Nova Light" w:cs="Arial"/>
          <w:sz w:val="16"/>
          <w:szCs w:val="16"/>
        </w:rPr>
        <w:t xml:space="preserve"> </w:t>
      </w:r>
      <w:r w:rsidR="00ED1A1F" w:rsidRPr="007722C0">
        <w:rPr>
          <w:rFonts w:ascii="Arial Nova Light" w:hAnsi="Arial Nova Light" w:cs="Arial"/>
          <w:i/>
          <w:iCs/>
          <w:color w:val="000000"/>
          <w:sz w:val="16"/>
          <w:szCs w:val="16"/>
        </w:rPr>
        <w:t>el interés simple ha sido definido la Primera Sala de la Suprema Corte de Justicia de la Nación, como un interés jurídicamente irrelevante, esto es, “como el que puede tener cualquier persona por alguna acción u omisión del Estado pero que, en caso de satisfacerse, no se traducirá en un beneficio personal para el interesado”.</w:t>
      </w:r>
    </w:p>
  </w:footnote>
  <w:footnote w:id="14">
    <w:p w14:paraId="615D617E" w14:textId="77777777" w:rsidR="00A560D5" w:rsidRPr="007722C0" w:rsidRDefault="00A560D5"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SUP-JDC-198/2018 Y SUP-JDC-199/2018, ACUMULADOS.</w:t>
      </w:r>
    </w:p>
  </w:footnote>
  <w:footnote w:id="15">
    <w:p w14:paraId="5492C57A" w14:textId="77777777" w:rsidR="00CD3066" w:rsidRPr="007722C0" w:rsidRDefault="00CD3066" w:rsidP="00036BD4">
      <w:pPr>
        <w:pStyle w:val="Textonotapie"/>
        <w:jc w:val="both"/>
        <w:rPr>
          <w:rFonts w:ascii="Arial Nova Light" w:hAnsi="Arial Nova Light"/>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Jurisprudencia P./J.55/97 de rubro: “LEYES AUTOAPLICATIVAS Y HETEROAPLICATIVAS. DISTINCIÓN BASADA EN EL CONCEPTO DE INDIVIDUALIZACIÓN INCONDICIONADA. Disponible para su consulta en la URL: </w:t>
      </w:r>
      <w:hyperlink r:id="rId4" w:history="1">
        <w:r w:rsidRPr="007722C0">
          <w:rPr>
            <w:rStyle w:val="Hipervnculo"/>
            <w:rFonts w:ascii="Arial Nova Light" w:hAnsi="Arial Nova Light" w:cs="Arial"/>
            <w:sz w:val="16"/>
            <w:szCs w:val="16"/>
          </w:rPr>
          <w:t>https://sjf2.scjn.gob.mx/detalle/tesis/198200</w:t>
        </w:r>
      </w:hyperlink>
      <w:r w:rsidRPr="007722C0">
        <w:rPr>
          <w:rFonts w:ascii="Arial Nova Light" w:hAnsi="Arial Nova Light" w:cs="Arial"/>
          <w:sz w:val="16"/>
          <w:szCs w:val="16"/>
        </w:rPr>
        <w:t xml:space="preserve"> </w:t>
      </w:r>
    </w:p>
  </w:footnote>
  <w:footnote w:id="16">
    <w:p w14:paraId="4645CC06" w14:textId="6FD772BB" w:rsidR="00022BCC" w:rsidRPr="007722C0" w:rsidRDefault="00EF5D64" w:rsidP="00036BD4">
      <w:pPr>
        <w:pStyle w:val="Textonotapie"/>
        <w:tabs>
          <w:tab w:val="left" w:pos="0"/>
          <w:tab w:val="left" w:pos="142"/>
        </w:tabs>
        <w:jc w:val="both"/>
        <w:rPr>
          <w:rFonts w:ascii="Arial Nova Light" w:hAnsi="Arial Nova Light"/>
          <w:b/>
          <w:bCs/>
          <w:color w:val="212529"/>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Criterio </w:t>
      </w:r>
      <w:r w:rsidR="00E80C8C" w:rsidRPr="007722C0">
        <w:rPr>
          <w:rFonts w:ascii="Arial Nova Light" w:hAnsi="Arial Nova Light"/>
          <w:sz w:val="16"/>
          <w:szCs w:val="16"/>
        </w:rPr>
        <w:t xml:space="preserve">en la Jurisprudencia </w:t>
      </w:r>
      <w:r w:rsidR="00E80C8C" w:rsidRPr="007722C0">
        <w:rPr>
          <w:rFonts w:ascii="Arial Nova Light" w:hAnsi="Arial Nova Light"/>
          <w:color w:val="212529"/>
          <w:sz w:val="16"/>
          <w:szCs w:val="16"/>
          <w:shd w:val="clear" w:color="auto" w:fill="FFFFFF"/>
        </w:rPr>
        <w:t xml:space="preserve">2a./J. 119/2014 (10a.), de rubro </w:t>
      </w:r>
      <w:r w:rsidR="00022BCC" w:rsidRPr="007722C0">
        <w:rPr>
          <w:rFonts w:ascii="Arial Nova Light" w:hAnsi="Arial Nova Light"/>
          <w:b/>
          <w:bCs/>
          <w:color w:val="212529"/>
          <w:sz w:val="16"/>
          <w:szCs w:val="16"/>
        </w:rPr>
        <w:t xml:space="preserve">AGRAVIOS INOPERANTES. LO SON AQUELLOS QUE PRETENDEN LA DESAPLICACIÓN DE UNA RESTRICCIÓN, PROHIBICIÓN, LIMITACIÓN O EXCEPCIÓN CONSTITUCIONAL, CON APOYO EN UNA DISPOSICIÓN DE CARÁCTER CONVENCIONAL. </w:t>
      </w:r>
    </w:p>
  </w:footnote>
  <w:footnote w:id="17">
    <w:p w14:paraId="7C698E08" w14:textId="77777777" w:rsidR="00C55EEA" w:rsidRPr="007722C0" w:rsidRDefault="00C55EEA"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w:t>
      </w:r>
      <w:r w:rsidRPr="007722C0">
        <w:rPr>
          <w:rFonts w:ascii="Arial Nova Light" w:hAnsi="Arial Nova Light" w:cs="Arial"/>
          <w:sz w:val="16"/>
          <w:szCs w:val="16"/>
          <w:lang w:bidi="en-US"/>
        </w:rPr>
        <w:t>Criterio sustentado por la Sala Superior de este Tribunal en el asunto SUP-JDC-36/2019.</w:t>
      </w:r>
    </w:p>
  </w:footnote>
  <w:footnote w:id="18">
    <w:p w14:paraId="40ADB369" w14:textId="149FA043" w:rsidR="00E72A70" w:rsidRPr="007722C0" w:rsidRDefault="00E72A70">
      <w:pPr>
        <w:pStyle w:val="Textonotapie"/>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Sentencia SM-JDC-120/2021, que confirma </w:t>
      </w:r>
      <w:r w:rsidR="007722C0" w:rsidRPr="007722C0">
        <w:rPr>
          <w:rFonts w:ascii="Arial Nova Light" w:hAnsi="Arial Nova Light"/>
          <w:sz w:val="16"/>
          <w:szCs w:val="16"/>
        </w:rPr>
        <w:t xml:space="preserve">la resolución TEEA-JDC-019/2021. </w:t>
      </w:r>
    </w:p>
  </w:footnote>
  <w:footnote w:id="19">
    <w:p w14:paraId="41C36AD3" w14:textId="77777777" w:rsidR="00096A39" w:rsidRPr="007722C0" w:rsidRDefault="00096A39" w:rsidP="00036BD4">
      <w:pPr>
        <w:pBdr>
          <w:top w:val="nil"/>
          <w:left w:val="nil"/>
          <w:bottom w:val="nil"/>
          <w:right w:val="nil"/>
          <w:between w:val="nil"/>
        </w:pBdr>
        <w:spacing w:after="0" w:line="240" w:lineRule="auto"/>
        <w:jc w:val="both"/>
        <w:rPr>
          <w:rFonts w:ascii="Arial Nova Light" w:eastAsia="Arial Nova" w:hAnsi="Arial Nova Light" w:cs="Arial"/>
          <w:color w:val="000000"/>
          <w:sz w:val="16"/>
          <w:szCs w:val="16"/>
        </w:rPr>
      </w:pPr>
      <w:r w:rsidRPr="007722C0">
        <w:rPr>
          <w:rFonts w:ascii="Arial Nova Light" w:hAnsi="Arial Nova Light" w:cs="Arial"/>
          <w:sz w:val="16"/>
          <w:szCs w:val="16"/>
          <w:vertAlign w:val="superscript"/>
        </w:rPr>
        <w:footnoteRef/>
      </w:r>
      <w:r w:rsidRPr="007722C0">
        <w:rPr>
          <w:rFonts w:ascii="Arial Nova Light" w:eastAsia="Arial Nova" w:hAnsi="Arial Nova Light" w:cs="Arial"/>
          <w:color w:val="000000"/>
          <w:sz w:val="16"/>
          <w:szCs w:val="16"/>
        </w:rPr>
        <w:t xml:space="preserve"> C</w:t>
      </w:r>
      <w:r w:rsidRPr="007722C0">
        <w:rPr>
          <w:rFonts w:ascii="Arial Nova Light" w:eastAsia="Arial Nova" w:hAnsi="Arial Nova Light" w:cs="Arial"/>
          <w:color w:val="000000"/>
          <w:sz w:val="16"/>
          <w:szCs w:val="16"/>
          <w:highlight w:val="white"/>
        </w:rPr>
        <w:t>on fundamento en dispuesto en el artículo 9, párrafo 3, de la Ley de Medios.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5491" w14:textId="31C2B763" w:rsidR="00096A39" w:rsidRDefault="000530C6">
    <w:pPr>
      <w:pBdr>
        <w:top w:val="nil"/>
        <w:left w:val="nil"/>
        <w:bottom w:val="nil"/>
        <w:right w:val="nil"/>
        <w:between w:val="nil"/>
      </w:pBdr>
      <w:tabs>
        <w:tab w:val="center" w:pos="4419"/>
        <w:tab w:val="right" w:pos="8838"/>
      </w:tabs>
      <w:spacing w:after="0" w:line="240" w:lineRule="auto"/>
      <w:rPr>
        <w:color w:val="000000"/>
      </w:rPr>
    </w:pPr>
    <w:r>
      <w:rPr>
        <w:noProof/>
      </w:rPr>
      <w:pict w14:anchorId="7066C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499407" o:spid="_x0000_s2050" type="#_x0000_t136" style="position:absolute;margin-left:0;margin-top:0;width:573.8pt;height:95.6pt;rotation:315;z-index:-251653120;mso-position-horizontal:center;mso-position-horizontal-relative:margin;mso-position-vertical:center;mso-position-vertical-relative:margin" o:allowincell="f" fillcolor="silver" stroked="f">
          <v:fill opacity=".5"/>
          <v:textpath style="font-family:&quot;Arial Nova Light&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443A" w14:textId="4A1A6B52" w:rsidR="00096A39" w:rsidRDefault="000530C6">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r>
      <w:rPr>
        <w:noProof/>
      </w:rPr>
      <w:pict w14:anchorId="7CC5C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499408" o:spid="_x0000_s2051" type="#_x0000_t136" style="position:absolute;left:0;text-align:left;margin-left:0;margin-top:0;width:573.8pt;height:95.6pt;rotation:315;z-index:-251651072;mso-position-horizontal:center;mso-position-horizontal-relative:margin;mso-position-vertical:center;mso-position-vertical-relative:margin" o:allowincell="f" fillcolor="silver" stroked="f">
          <v:fill opacity=".5"/>
          <v:textpath style="font-family:&quot;Arial Nova Light&quot;;font-size:1pt" string="Para consulta"/>
          <w10:wrap anchorx="margin" anchory="margin"/>
        </v:shape>
      </w:pict>
    </w:r>
    <w:r w:rsidR="001A3EA3">
      <w:rPr>
        <w:noProof/>
      </w:rPr>
      <w:drawing>
        <wp:anchor distT="0" distB="0" distL="114300" distR="114300" simplePos="0" relativeHeight="251659264" behindDoc="0" locked="0" layoutInCell="1" hidden="0" allowOverlap="1" wp14:anchorId="384215B8" wp14:editId="207425E3">
          <wp:simplePos x="0" y="0"/>
          <wp:positionH relativeFrom="column">
            <wp:posOffset>82209</wp:posOffset>
          </wp:positionH>
          <wp:positionV relativeFrom="paragraph">
            <wp:posOffset>6985</wp:posOffset>
          </wp:positionV>
          <wp:extent cx="1016758" cy="1071349"/>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6325" cy="1081430"/>
                  </a:xfrm>
                  <a:prstGeom prst="rect">
                    <a:avLst/>
                  </a:prstGeom>
                  <a:ln/>
                </pic:spPr>
              </pic:pic>
            </a:graphicData>
          </a:graphic>
          <wp14:sizeRelH relativeFrom="margin">
            <wp14:pctWidth>0</wp14:pctWidth>
          </wp14:sizeRelH>
          <wp14:sizeRelV relativeFrom="margin">
            <wp14:pctHeight>0</wp14:pctHeight>
          </wp14:sizeRelV>
        </wp:anchor>
      </w:drawing>
    </w:r>
    <w:r w:rsidR="00096A39">
      <w:rPr>
        <w:rFonts w:ascii="Arial" w:eastAsia="Arial" w:hAnsi="Arial" w:cs="Arial"/>
        <w:b/>
        <w:noProof/>
        <w:color w:val="000000"/>
        <w:sz w:val="18"/>
        <w:szCs w:val="18"/>
      </w:rPr>
      <mc:AlternateContent>
        <mc:Choice Requires="wps">
          <w:drawing>
            <wp:anchor distT="0" distB="0" distL="114300" distR="114300" simplePos="0" relativeHeight="251658240" behindDoc="0" locked="0" layoutInCell="0" hidden="0" allowOverlap="1" wp14:anchorId="4AE35F7E" wp14:editId="0FD34D1D">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B8F003D" w14:textId="77777777" w:rsidR="00096A39" w:rsidRDefault="00096A39">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044BD6">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4AE35F7E" id="Rectángulo 1" o:spid="_x0000_s1026" style="position:absolute;left:0;text-align:left;margin-left:0;margin-top:0;width:60pt;height:70.5pt;z-index:251658240;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B8F003D" w14:textId="77777777" w:rsidR="00096A39" w:rsidRDefault="00096A39">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044BD6">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sidR="00096A39">
      <w:rPr>
        <w:rFonts w:ascii="Arial" w:eastAsia="Arial" w:hAnsi="Arial" w:cs="Arial"/>
        <w:b/>
        <w:color w:val="000000"/>
        <w:sz w:val="18"/>
        <w:szCs w:val="18"/>
      </w:rPr>
      <w:t xml:space="preserve">                                                               </w:t>
    </w:r>
  </w:p>
  <w:p w14:paraId="49337023" w14:textId="77777777" w:rsidR="00096A39" w:rsidRDefault="00096A39">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p>
  <w:p w14:paraId="5561CD59" w14:textId="77777777" w:rsidR="00096A39" w:rsidRDefault="00096A39">
    <w:pPr>
      <w:pBdr>
        <w:top w:val="nil"/>
        <w:left w:val="nil"/>
        <w:bottom w:val="nil"/>
        <w:right w:val="nil"/>
        <w:between w:val="nil"/>
      </w:pBdr>
      <w:tabs>
        <w:tab w:val="center" w:pos="4419"/>
        <w:tab w:val="right" w:pos="8838"/>
      </w:tabs>
      <w:spacing w:after="0" w:line="240" w:lineRule="auto"/>
      <w:rPr>
        <w:rFonts w:ascii="Century Gothic" w:eastAsia="Century Gothic" w:hAnsi="Century Gothic" w:cs="Century Gothic"/>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0827" w14:textId="5344F630" w:rsidR="00096A39" w:rsidRDefault="000530C6">
    <w:pPr>
      <w:pBdr>
        <w:top w:val="nil"/>
        <w:left w:val="nil"/>
        <w:bottom w:val="nil"/>
        <w:right w:val="nil"/>
        <w:between w:val="nil"/>
      </w:pBdr>
      <w:tabs>
        <w:tab w:val="center" w:pos="4419"/>
        <w:tab w:val="right" w:pos="8838"/>
      </w:tabs>
      <w:spacing w:after="0" w:line="240" w:lineRule="auto"/>
      <w:rPr>
        <w:color w:val="000000"/>
      </w:rPr>
    </w:pPr>
    <w:r>
      <w:rPr>
        <w:noProof/>
      </w:rPr>
      <w:pict w14:anchorId="11505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499406" o:spid="_x0000_s2049" type="#_x0000_t136" style="position:absolute;margin-left:0;margin-top:0;width:573.8pt;height:95.6pt;rotation:315;z-index:-251655168;mso-position-horizontal:center;mso-position-horizontal-relative:margin;mso-position-vertical:center;mso-position-vertical-relative:margin" o:allowincell="f" fillcolor="silver" stroked="f">
          <v:fill opacity=".5"/>
          <v:textpath style="font-family:&quot;Arial Nova Light&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68ED"/>
    <w:multiLevelType w:val="multilevel"/>
    <w:tmpl w:val="54407B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75430E"/>
    <w:multiLevelType w:val="multilevel"/>
    <w:tmpl w:val="6152F96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9154F1"/>
    <w:multiLevelType w:val="multilevel"/>
    <w:tmpl w:val="6AE07DBC"/>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94343"/>
    <w:multiLevelType w:val="hybridMultilevel"/>
    <w:tmpl w:val="19727B52"/>
    <w:lvl w:ilvl="0" w:tplc="427AA81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B91AD1"/>
    <w:multiLevelType w:val="multilevel"/>
    <w:tmpl w:val="12A49B10"/>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rPr>
        <w:b/>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AF6415"/>
    <w:multiLevelType w:val="multilevel"/>
    <w:tmpl w:val="7130C5F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9BD0E83"/>
    <w:multiLevelType w:val="multilevel"/>
    <w:tmpl w:val="F42A76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2F3C92"/>
    <w:multiLevelType w:val="hybridMultilevel"/>
    <w:tmpl w:val="B6B6FF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A11D5C"/>
    <w:multiLevelType w:val="multilevel"/>
    <w:tmpl w:val="320EBEB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40"/>
    <w:rsid w:val="00003C29"/>
    <w:rsid w:val="00015746"/>
    <w:rsid w:val="000175D0"/>
    <w:rsid w:val="00022BCC"/>
    <w:rsid w:val="00036BD4"/>
    <w:rsid w:val="00037649"/>
    <w:rsid w:val="00046A34"/>
    <w:rsid w:val="00050DAA"/>
    <w:rsid w:val="000530C6"/>
    <w:rsid w:val="0005484E"/>
    <w:rsid w:val="00062175"/>
    <w:rsid w:val="00064CC3"/>
    <w:rsid w:val="00073FE5"/>
    <w:rsid w:val="0007662D"/>
    <w:rsid w:val="00096A39"/>
    <w:rsid w:val="000A0AD8"/>
    <w:rsid w:val="000A5719"/>
    <w:rsid w:val="000B13CE"/>
    <w:rsid w:val="000B49C2"/>
    <w:rsid w:val="000B6BE5"/>
    <w:rsid w:val="000C2A2C"/>
    <w:rsid w:val="000C3C4E"/>
    <w:rsid w:val="000C5A16"/>
    <w:rsid w:val="000D0B7B"/>
    <w:rsid w:val="000D0F4E"/>
    <w:rsid w:val="000D2B9E"/>
    <w:rsid w:val="000D5FCC"/>
    <w:rsid w:val="000E7F71"/>
    <w:rsid w:val="000F3616"/>
    <w:rsid w:val="0010436F"/>
    <w:rsid w:val="00107DF3"/>
    <w:rsid w:val="001106C5"/>
    <w:rsid w:val="00116FD9"/>
    <w:rsid w:val="00121822"/>
    <w:rsid w:val="00134F82"/>
    <w:rsid w:val="00135393"/>
    <w:rsid w:val="00140578"/>
    <w:rsid w:val="00144ACB"/>
    <w:rsid w:val="00145F59"/>
    <w:rsid w:val="0016086D"/>
    <w:rsid w:val="001724D1"/>
    <w:rsid w:val="001866C5"/>
    <w:rsid w:val="00190FD9"/>
    <w:rsid w:val="00191222"/>
    <w:rsid w:val="001A3EA3"/>
    <w:rsid w:val="001A579A"/>
    <w:rsid w:val="001B0F58"/>
    <w:rsid w:val="001B31CC"/>
    <w:rsid w:val="001C00CA"/>
    <w:rsid w:val="001C07EF"/>
    <w:rsid w:val="001C22F7"/>
    <w:rsid w:val="001D310D"/>
    <w:rsid w:val="001E4BF8"/>
    <w:rsid w:val="001E507F"/>
    <w:rsid w:val="001F0DC3"/>
    <w:rsid w:val="001F55CE"/>
    <w:rsid w:val="00204C8C"/>
    <w:rsid w:val="0021055F"/>
    <w:rsid w:val="002226C6"/>
    <w:rsid w:val="00226603"/>
    <w:rsid w:val="00227532"/>
    <w:rsid w:val="0023590F"/>
    <w:rsid w:val="002360C9"/>
    <w:rsid w:val="00236D5D"/>
    <w:rsid w:val="0025207A"/>
    <w:rsid w:val="00253D66"/>
    <w:rsid w:val="002603D4"/>
    <w:rsid w:val="00260C95"/>
    <w:rsid w:val="00270B01"/>
    <w:rsid w:val="002852DF"/>
    <w:rsid w:val="00287213"/>
    <w:rsid w:val="00294777"/>
    <w:rsid w:val="00295AD9"/>
    <w:rsid w:val="002A046C"/>
    <w:rsid w:val="002A451D"/>
    <w:rsid w:val="002A456D"/>
    <w:rsid w:val="002A4AE4"/>
    <w:rsid w:val="002A7AFC"/>
    <w:rsid w:val="002B43DE"/>
    <w:rsid w:val="002D13BC"/>
    <w:rsid w:val="002D6CBB"/>
    <w:rsid w:val="002E5894"/>
    <w:rsid w:val="002E5F20"/>
    <w:rsid w:val="002E72C5"/>
    <w:rsid w:val="002F7129"/>
    <w:rsid w:val="00337A0D"/>
    <w:rsid w:val="00343C61"/>
    <w:rsid w:val="0034668A"/>
    <w:rsid w:val="0035262F"/>
    <w:rsid w:val="003558A2"/>
    <w:rsid w:val="00355C45"/>
    <w:rsid w:val="00374257"/>
    <w:rsid w:val="00381365"/>
    <w:rsid w:val="0038140F"/>
    <w:rsid w:val="00386C7A"/>
    <w:rsid w:val="003B230E"/>
    <w:rsid w:val="003B2F51"/>
    <w:rsid w:val="003B31E2"/>
    <w:rsid w:val="003C103C"/>
    <w:rsid w:val="003C12AA"/>
    <w:rsid w:val="003C768D"/>
    <w:rsid w:val="003E2AA4"/>
    <w:rsid w:val="003E6A01"/>
    <w:rsid w:val="00421252"/>
    <w:rsid w:val="0043089B"/>
    <w:rsid w:val="00442959"/>
    <w:rsid w:val="00444D58"/>
    <w:rsid w:val="00453BA0"/>
    <w:rsid w:val="00454FA3"/>
    <w:rsid w:val="0045756F"/>
    <w:rsid w:val="004640F5"/>
    <w:rsid w:val="0046432B"/>
    <w:rsid w:val="00472D78"/>
    <w:rsid w:val="00472EBE"/>
    <w:rsid w:val="00484C44"/>
    <w:rsid w:val="004867FB"/>
    <w:rsid w:val="004C33C7"/>
    <w:rsid w:val="004D12D1"/>
    <w:rsid w:val="004E7AB7"/>
    <w:rsid w:val="00511AE5"/>
    <w:rsid w:val="005234B9"/>
    <w:rsid w:val="00537512"/>
    <w:rsid w:val="00540522"/>
    <w:rsid w:val="0055007E"/>
    <w:rsid w:val="00552B1D"/>
    <w:rsid w:val="0055456C"/>
    <w:rsid w:val="005755CB"/>
    <w:rsid w:val="00581175"/>
    <w:rsid w:val="0058445B"/>
    <w:rsid w:val="00595A68"/>
    <w:rsid w:val="00597515"/>
    <w:rsid w:val="005A44F0"/>
    <w:rsid w:val="005B4D2F"/>
    <w:rsid w:val="005B6952"/>
    <w:rsid w:val="005C6AA3"/>
    <w:rsid w:val="005D1A88"/>
    <w:rsid w:val="005E5970"/>
    <w:rsid w:val="005E5AFC"/>
    <w:rsid w:val="005F2FBA"/>
    <w:rsid w:val="005F40DC"/>
    <w:rsid w:val="006017F4"/>
    <w:rsid w:val="006100DB"/>
    <w:rsid w:val="0061181B"/>
    <w:rsid w:val="00615C01"/>
    <w:rsid w:val="00617197"/>
    <w:rsid w:val="0062428B"/>
    <w:rsid w:val="006308B4"/>
    <w:rsid w:val="00633716"/>
    <w:rsid w:val="00634F51"/>
    <w:rsid w:val="006453F6"/>
    <w:rsid w:val="0064662C"/>
    <w:rsid w:val="00652A29"/>
    <w:rsid w:val="00667DAB"/>
    <w:rsid w:val="00671F09"/>
    <w:rsid w:val="00687328"/>
    <w:rsid w:val="006907FE"/>
    <w:rsid w:val="006A1D28"/>
    <w:rsid w:val="006B218F"/>
    <w:rsid w:val="006B74A2"/>
    <w:rsid w:val="006C3808"/>
    <w:rsid w:val="006C6687"/>
    <w:rsid w:val="006D0ED0"/>
    <w:rsid w:val="006D35DC"/>
    <w:rsid w:val="006E15BF"/>
    <w:rsid w:val="006E4B5F"/>
    <w:rsid w:val="006E4DB6"/>
    <w:rsid w:val="006F1846"/>
    <w:rsid w:val="006F3A75"/>
    <w:rsid w:val="006F781A"/>
    <w:rsid w:val="00702F81"/>
    <w:rsid w:val="007049DD"/>
    <w:rsid w:val="00712EDC"/>
    <w:rsid w:val="00731C46"/>
    <w:rsid w:val="00747C95"/>
    <w:rsid w:val="00754411"/>
    <w:rsid w:val="007633FA"/>
    <w:rsid w:val="007722C0"/>
    <w:rsid w:val="00772669"/>
    <w:rsid w:val="007815DE"/>
    <w:rsid w:val="00785BF7"/>
    <w:rsid w:val="00796EBB"/>
    <w:rsid w:val="00797A1C"/>
    <w:rsid w:val="007A0819"/>
    <w:rsid w:val="007C079D"/>
    <w:rsid w:val="007D0FD8"/>
    <w:rsid w:val="007D1B8C"/>
    <w:rsid w:val="007D2243"/>
    <w:rsid w:val="007E0250"/>
    <w:rsid w:val="007E0F28"/>
    <w:rsid w:val="007E2F45"/>
    <w:rsid w:val="0081116F"/>
    <w:rsid w:val="00815C4A"/>
    <w:rsid w:val="008247DE"/>
    <w:rsid w:val="00824FCB"/>
    <w:rsid w:val="00825D5F"/>
    <w:rsid w:val="00827A95"/>
    <w:rsid w:val="008377AC"/>
    <w:rsid w:val="00881BB6"/>
    <w:rsid w:val="00884557"/>
    <w:rsid w:val="00885AFC"/>
    <w:rsid w:val="0089051A"/>
    <w:rsid w:val="00893C12"/>
    <w:rsid w:val="00896223"/>
    <w:rsid w:val="008A21D2"/>
    <w:rsid w:val="008A4C4B"/>
    <w:rsid w:val="008B7118"/>
    <w:rsid w:val="008C1DC0"/>
    <w:rsid w:val="008D5A03"/>
    <w:rsid w:val="008D7905"/>
    <w:rsid w:val="008F7182"/>
    <w:rsid w:val="009017A9"/>
    <w:rsid w:val="009124A6"/>
    <w:rsid w:val="00950A13"/>
    <w:rsid w:val="0095468B"/>
    <w:rsid w:val="009709E0"/>
    <w:rsid w:val="009A25F0"/>
    <w:rsid w:val="009C16F8"/>
    <w:rsid w:val="009D0E9A"/>
    <w:rsid w:val="009D1D46"/>
    <w:rsid w:val="009E4221"/>
    <w:rsid w:val="009F6EEE"/>
    <w:rsid w:val="009F74E8"/>
    <w:rsid w:val="00A07E0C"/>
    <w:rsid w:val="00A13444"/>
    <w:rsid w:val="00A20C26"/>
    <w:rsid w:val="00A2458E"/>
    <w:rsid w:val="00A50755"/>
    <w:rsid w:val="00A51A11"/>
    <w:rsid w:val="00A560D5"/>
    <w:rsid w:val="00A622CF"/>
    <w:rsid w:val="00A643E3"/>
    <w:rsid w:val="00A6482E"/>
    <w:rsid w:val="00A64A74"/>
    <w:rsid w:val="00A64D89"/>
    <w:rsid w:val="00A66EAE"/>
    <w:rsid w:val="00A67D84"/>
    <w:rsid w:val="00A84008"/>
    <w:rsid w:val="00A8706D"/>
    <w:rsid w:val="00AA3FA6"/>
    <w:rsid w:val="00AA711A"/>
    <w:rsid w:val="00AA75D9"/>
    <w:rsid w:val="00AF0E7A"/>
    <w:rsid w:val="00B12BDA"/>
    <w:rsid w:val="00B1504A"/>
    <w:rsid w:val="00B16785"/>
    <w:rsid w:val="00B2436A"/>
    <w:rsid w:val="00B348A1"/>
    <w:rsid w:val="00B37771"/>
    <w:rsid w:val="00B410B2"/>
    <w:rsid w:val="00B437FC"/>
    <w:rsid w:val="00B44840"/>
    <w:rsid w:val="00B51411"/>
    <w:rsid w:val="00B51EF3"/>
    <w:rsid w:val="00B56261"/>
    <w:rsid w:val="00B56951"/>
    <w:rsid w:val="00B70B10"/>
    <w:rsid w:val="00B8120E"/>
    <w:rsid w:val="00B81338"/>
    <w:rsid w:val="00B82643"/>
    <w:rsid w:val="00B83039"/>
    <w:rsid w:val="00B90F29"/>
    <w:rsid w:val="00B92EBD"/>
    <w:rsid w:val="00B94D34"/>
    <w:rsid w:val="00B964E6"/>
    <w:rsid w:val="00BA677C"/>
    <w:rsid w:val="00BA70F6"/>
    <w:rsid w:val="00BB74D7"/>
    <w:rsid w:val="00BC029E"/>
    <w:rsid w:val="00BD1F99"/>
    <w:rsid w:val="00BD74F8"/>
    <w:rsid w:val="00BE46DB"/>
    <w:rsid w:val="00BE6EDF"/>
    <w:rsid w:val="00BF43BD"/>
    <w:rsid w:val="00BF7608"/>
    <w:rsid w:val="00C00D1E"/>
    <w:rsid w:val="00C06136"/>
    <w:rsid w:val="00C1321D"/>
    <w:rsid w:val="00C26B8A"/>
    <w:rsid w:val="00C31551"/>
    <w:rsid w:val="00C322F7"/>
    <w:rsid w:val="00C35D93"/>
    <w:rsid w:val="00C55EEA"/>
    <w:rsid w:val="00C652BF"/>
    <w:rsid w:val="00C72297"/>
    <w:rsid w:val="00C806C5"/>
    <w:rsid w:val="00C90905"/>
    <w:rsid w:val="00C97A43"/>
    <w:rsid w:val="00CA0892"/>
    <w:rsid w:val="00CA1A00"/>
    <w:rsid w:val="00CA5DC4"/>
    <w:rsid w:val="00CA6CE5"/>
    <w:rsid w:val="00CB7D34"/>
    <w:rsid w:val="00CC48D9"/>
    <w:rsid w:val="00CC73F5"/>
    <w:rsid w:val="00CD3066"/>
    <w:rsid w:val="00CE13F6"/>
    <w:rsid w:val="00CE1753"/>
    <w:rsid w:val="00CE53FC"/>
    <w:rsid w:val="00CE5F7F"/>
    <w:rsid w:val="00CF3213"/>
    <w:rsid w:val="00D109AF"/>
    <w:rsid w:val="00D228CD"/>
    <w:rsid w:val="00D43398"/>
    <w:rsid w:val="00D43F27"/>
    <w:rsid w:val="00D560C2"/>
    <w:rsid w:val="00D668F7"/>
    <w:rsid w:val="00D674EF"/>
    <w:rsid w:val="00D73366"/>
    <w:rsid w:val="00D84B87"/>
    <w:rsid w:val="00D916D7"/>
    <w:rsid w:val="00D95233"/>
    <w:rsid w:val="00D97297"/>
    <w:rsid w:val="00DA79B5"/>
    <w:rsid w:val="00DB00D1"/>
    <w:rsid w:val="00DB117B"/>
    <w:rsid w:val="00DB2F83"/>
    <w:rsid w:val="00DB4A0C"/>
    <w:rsid w:val="00DC3E0F"/>
    <w:rsid w:val="00DC5210"/>
    <w:rsid w:val="00DC5E65"/>
    <w:rsid w:val="00DD09F0"/>
    <w:rsid w:val="00DD1638"/>
    <w:rsid w:val="00DF0A1C"/>
    <w:rsid w:val="00E03960"/>
    <w:rsid w:val="00E06CEB"/>
    <w:rsid w:val="00E25805"/>
    <w:rsid w:val="00E37BC5"/>
    <w:rsid w:val="00E56725"/>
    <w:rsid w:val="00E7275A"/>
    <w:rsid w:val="00E72A70"/>
    <w:rsid w:val="00E72A77"/>
    <w:rsid w:val="00E80C8C"/>
    <w:rsid w:val="00E84118"/>
    <w:rsid w:val="00E902F2"/>
    <w:rsid w:val="00E94954"/>
    <w:rsid w:val="00E95A6E"/>
    <w:rsid w:val="00E97176"/>
    <w:rsid w:val="00EB3CF1"/>
    <w:rsid w:val="00EC0507"/>
    <w:rsid w:val="00EC0645"/>
    <w:rsid w:val="00EC4063"/>
    <w:rsid w:val="00EC4995"/>
    <w:rsid w:val="00EC4A09"/>
    <w:rsid w:val="00ED1A1F"/>
    <w:rsid w:val="00ED2353"/>
    <w:rsid w:val="00ED275A"/>
    <w:rsid w:val="00ED39F5"/>
    <w:rsid w:val="00ED42B8"/>
    <w:rsid w:val="00EE3646"/>
    <w:rsid w:val="00EF5068"/>
    <w:rsid w:val="00EF5D64"/>
    <w:rsid w:val="00F03641"/>
    <w:rsid w:val="00F06656"/>
    <w:rsid w:val="00F15FD1"/>
    <w:rsid w:val="00F22DA0"/>
    <w:rsid w:val="00F231B1"/>
    <w:rsid w:val="00F24CE0"/>
    <w:rsid w:val="00F3027C"/>
    <w:rsid w:val="00F43F60"/>
    <w:rsid w:val="00F45233"/>
    <w:rsid w:val="00F62075"/>
    <w:rsid w:val="00F717E5"/>
    <w:rsid w:val="00F82F3F"/>
    <w:rsid w:val="00F8557E"/>
    <w:rsid w:val="00F96383"/>
    <w:rsid w:val="00FD64B9"/>
    <w:rsid w:val="00FE012C"/>
    <w:rsid w:val="00FE594D"/>
    <w:rsid w:val="00FF3A06"/>
    <w:rsid w:val="00FF4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46FD9F"/>
  <w15:docId w15:val="{0A6A53E1-1FE5-47B8-B6EB-32EBC13A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40" w:after="0"/>
      <w:outlineLvl w:val="3"/>
    </w:pPr>
    <w:rPr>
      <w:i/>
      <w:color w:val="2F5496"/>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A622CF"/>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A622CF"/>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Ref"/>
    <w:basedOn w:val="Fuentedeprrafopredeter"/>
    <w:link w:val="4GChar"/>
    <w:unhideWhenUsed/>
    <w:qFormat/>
    <w:rsid w:val="00A622CF"/>
    <w:rPr>
      <w:vertAlign w:val="superscript"/>
    </w:rPr>
  </w:style>
  <w:style w:type="paragraph" w:styleId="Prrafodelista">
    <w:name w:val="List Paragraph"/>
    <w:basedOn w:val="Normal"/>
    <w:uiPriority w:val="34"/>
    <w:qFormat/>
    <w:rsid w:val="00A622CF"/>
    <w:pPr>
      <w:ind w:left="720"/>
      <w:contextualSpacing/>
    </w:p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E4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E4BF8"/>
    <w:rPr>
      <w:rFonts w:ascii="Times New Roman" w:eastAsia="Times New Roman" w:hAnsi="Times New Roman" w:cs="Times New Roman"/>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8D5A03"/>
    <w:pPr>
      <w:spacing w:after="0" w:line="240" w:lineRule="auto"/>
      <w:jc w:val="both"/>
    </w:pPr>
    <w:rPr>
      <w:vertAlign w:val="superscript"/>
    </w:rPr>
  </w:style>
  <w:style w:type="character" w:styleId="Hipervnculo">
    <w:name w:val="Hyperlink"/>
    <w:basedOn w:val="Fuentedeprrafopredeter"/>
    <w:uiPriority w:val="99"/>
    <w:unhideWhenUsed/>
    <w:rsid w:val="00EE3646"/>
    <w:rPr>
      <w:color w:val="0000FF" w:themeColor="hyperlink"/>
      <w:u w:val="single"/>
    </w:rPr>
  </w:style>
  <w:style w:type="character" w:styleId="Mencinsinresolver">
    <w:name w:val="Unresolved Mention"/>
    <w:basedOn w:val="Fuentedeprrafopredeter"/>
    <w:uiPriority w:val="99"/>
    <w:semiHidden/>
    <w:unhideWhenUsed/>
    <w:rsid w:val="00EE3646"/>
    <w:rPr>
      <w:color w:val="605E5C"/>
      <w:shd w:val="clear" w:color="auto" w:fill="E1DFDD"/>
    </w:rPr>
  </w:style>
  <w:style w:type="paragraph" w:customStyle="1" w:styleId="Estilo">
    <w:name w:val="Estilo"/>
    <w:basedOn w:val="Sinespaciado"/>
    <w:link w:val="EstiloCar"/>
    <w:qFormat/>
    <w:rsid w:val="00442959"/>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442959"/>
    <w:rPr>
      <w:rFonts w:ascii="Arial" w:eastAsiaTheme="minorHAnsi" w:hAnsi="Arial" w:cstheme="minorBidi"/>
      <w:sz w:val="24"/>
      <w:lang w:eastAsia="en-US"/>
    </w:rPr>
  </w:style>
  <w:style w:type="paragraph" w:styleId="Sinespaciado">
    <w:name w:val="No Spacing"/>
    <w:uiPriority w:val="1"/>
    <w:qFormat/>
    <w:rsid w:val="00442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7911">
      <w:bodyDiv w:val="1"/>
      <w:marLeft w:val="0"/>
      <w:marRight w:val="0"/>
      <w:marTop w:val="0"/>
      <w:marBottom w:val="0"/>
      <w:divBdr>
        <w:top w:val="none" w:sz="0" w:space="0" w:color="auto"/>
        <w:left w:val="none" w:sz="0" w:space="0" w:color="auto"/>
        <w:bottom w:val="none" w:sz="0" w:space="0" w:color="auto"/>
        <w:right w:val="none" w:sz="0" w:space="0" w:color="auto"/>
      </w:divBdr>
    </w:div>
    <w:div w:id="261424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e.gob.mx/colecciones/sentencias/html/SUP/2018/JDC/SUP-JDC-00236-2018.htm" TargetMode="External"/><Relationship Id="rId2" Type="http://schemas.openxmlformats.org/officeDocument/2006/relationships/hyperlink" Target="https://www.te.gob.mx/colecciones/sentencias/html/SUP/2018/JDC/SUP-JDC-00236-2018.htm" TargetMode="External"/><Relationship Id="rId1" Type="http://schemas.openxmlformats.org/officeDocument/2006/relationships/hyperlink" Target="https://mexico.justia.com/federales/jurisprudencias-tesis/tribunal-electoral/jurisprudencia-7-2002/" TargetMode="External"/><Relationship Id="rId4" Type="http://schemas.openxmlformats.org/officeDocument/2006/relationships/hyperlink" Target="https://sjf2.scjn.gob.mx/detalle/tesis/1982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01F3-09FE-1045-9D0A-66BE1EAC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3586</Words>
  <Characters>19728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ENRIQUE RIVERA LOPEZ</dc:creator>
  <cp:lastModifiedBy>Secretario Gral</cp:lastModifiedBy>
  <cp:revision>2</cp:revision>
  <cp:lastPrinted>2021-04-01T18:32:00Z</cp:lastPrinted>
  <dcterms:created xsi:type="dcterms:W3CDTF">2021-04-01T19:33:00Z</dcterms:created>
  <dcterms:modified xsi:type="dcterms:W3CDTF">2021-04-01T19:33:00Z</dcterms:modified>
</cp:coreProperties>
</file>